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i w:val="0"/>
          <w:color w:val="1E4D3B"/>
          <w:sz w:val="44"/>
        </w:rPr>
        <w:t>FINANCIAL FOUNDATIONS</w:t>
      </w:r>
    </w:p>
    <w:p>
      <w:r>
        <w:rPr>
          <w:rFonts w:ascii="Arial" w:hAnsi="Arial"/>
          <w:b w:val="0"/>
          <w:i w:val="0"/>
          <w:color w:val="595959"/>
          <w:sz w:val="26"/>
        </w:rPr>
        <w:t>Accounting SOP Library — Module 1.5  ·  All 21 SOPs</w:t>
      </w:r>
    </w:p>
    <w:p>
      <w:r>
        <w:rPr>
          <w:rFonts w:ascii="Arial" w:hAnsi="Arial"/>
          <w:b w:val="0"/>
          <w:i/>
          <w:color w:val="595959"/>
          <w:sz w:val="19"/>
        </w:rPr>
        <w:t>Examples apply to cannabis retail, cultivation, and processing operations and may differ by business type. These are training examples — adapt before adopting. Regulatory references are state-neutral; confirm specifics with counsel.</w:t>
      </w:r>
    </w:p>
    <w:p>
      <w:r>
        <w:rPr>
          <w:rFonts w:ascii="Arial" w:hAnsi="Arial"/>
          <w:b/>
          <w:i w:val="0"/>
          <w:color w:val="1E4D3B"/>
          <w:sz w:val="26"/>
        </w:rPr>
        <w:t>Contents</w:t>
      </w:r>
    </w:p>
    <w:p>
      <w:r>
        <w:rPr>
          <w:rFonts w:ascii="Arial" w:hAnsi="Arial"/>
          <w:b w:val="0"/>
          <w:i w:val="0"/>
          <w:sz w:val="20"/>
        </w:rPr>
        <w:t>SOP 01 — Cash Handling</w:t>
      </w:r>
    </w:p>
    <w:p>
      <w:r>
        <w:rPr>
          <w:rFonts w:ascii="Arial" w:hAnsi="Arial"/>
          <w:b w:val="0"/>
          <w:i w:val="0"/>
          <w:sz w:val="20"/>
        </w:rPr>
        <w:t>SOP 02 — Petty Cash &amp; Change Fund</w:t>
      </w:r>
    </w:p>
    <w:p>
      <w:r>
        <w:rPr>
          <w:rFonts w:ascii="Arial" w:hAnsi="Arial"/>
          <w:b w:val="0"/>
          <w:i w:val="0"/>
          <w:sz w:val="20"/>
        </w:rPr>
        <w:t>SOP 03 — Daily Sales Reconciliation</w:t>
      </w:r>
    </w:p>
    <w:p>
      <w:r>
        <w:rPr>
          <w:rFonts w:ascii="Arial" w:hAnsi="Arial"/>
          <w:b w:val="0"/>
          <w:i w:val="0"/>
          <w:sz w:val="20"/>
        </w:rPr>
        <w:t>SOP 04 — Banking &amp; Deposit Controls</w:t>
      </w:r>
    </w:p>
    <w:p>
      <w:r>
        <w:rPr>
          <w:rFonts w:ascii="Arial" w:hAnsi="Arial"/>
          <w:b w:val="0"/>
          <w:i w:val="0"/>
          <w:sz w:val="20"/>
        </w:rPr>
        <w:t>SOP 05 — Accounts Payable Workflow</w:t>
      </w:r>
    </w:p>
    <w:p>
      <w:r>
        <w:rPr>
          <w:rFonts w:ascii="Arial" w:hAnsi="Arial"/>
          <w:b w:val="0"/>
          <w:i w:val="0"/>
          <w:sz w:val="20"/>
        </w:rPr>
        <w:t>SOP 06 — Vendor Onboarding</w:t>
      </w:r>
    </w:p>
    <w:p>
      <w:r>
        <w:rPr>
          <w:rFonts w:ascii="Arial" w:hAnsi="Arial"/>
          <w:b w:val="0"/>
          <w:i w:val="0"/>
          <w:sz w:val="20"/>
        </w:rPr>
        <w:t>SOP 07 — Purchasing Approval &amp; Authorization Schedule</w:t>
      </w:r>
    </w:p>
    <w:p>
      <w:r>
        <w:rPr>
          <w:rFonts w:ascii="Arial" w:hAnsi="Arial"/>
          <w:b w:val="0"/>
          <w:i w:val="0"/>
          <w:sz w:val="20"/>
        </w:rPr>
        <w:t>SOP 08 — Employee Expense Reimbursement &amp; Corporate Card</w:t>
      </w:r>
    </w:p>
    <w:p>
      <w:r>
        <w:rPr>
          <w:rFonts w:ascii="Arial" w:hAnsi="Arial"/>
          <w:b w:val="0"/>
          <w:i w:val="0"/>
          <w:sz w:val="20"/>
        </w:rPr>
        <w:t>SOP 09 — Payroll Processing</w:t>
      </w:r>
    </w:p>
    <w:p>
      <w:r>
        <w:rPr>
          <w:rFonts w:ascii="Arial" w:hAnsi="Arial"/>
          <w:b w:val="0"/>
          <w:i w:val="0"/>
          <w:sz w:val="20"/>
        </w:rPr>
        <w:t>SOP 10 — Bank Reconciliation</w:t>
      </w:r>
    </w:p>
    <w:p>
      <w:r>
        <w:rPr>
          <w:rFonts w:ascii="Arial" w:hAnsi="Arial"/>
          <w:b w:val="0"/>
          <w:i w:val="0"/>
          <w:sz w:val="20"/>
        </w:rPr>
        <w:t>SOP 11 — Inventory Counts &amp; Track-and-Trace Reconciliation</w:t>
      </w:r>
    </w:p>
    <w:p>
      <w:r>
        <w:rPr>
          <w:rFonts w:ascii="Arial" w:hAnsi="Arial"/>
          <w:b w:val="0"/>
          <w:i w:val="0"/>
          <w:sz w:val="20"/>
        </w:rPr>
        <w:t>SOP 12 — Inventory Receiving &amp; Manifest Verification</w:t>
      </w:r>
    </w:p>
    <w:p>
      <w:r>
        <w:rPr>
          <w:rFonts w:ascii="Arial" w:hAnsi="Arial"/>
          <w:b w:val="0"/>
          <w:i w:val="0"/>
          <w:sz w:val="20"/>
        </w:rPr>
        <w:t>SOP 13 — Inventory Adjustments, Waste &amp; Destruction</w:t>
      </w:r>
    </w:p>
    <w:p>
      <w:r>
        <w:rPr>
          <w:rFonts w:ascii="Arial" w:hAnsi="Arial"/>
          <w:b w:val="0"/>
          <w:i w:val="0"/>
          <w:sz w:val="20"/>
        </w:rPr>
        <w:t>SOP 14 — Financial Reporting &amp; Distribution</w:t>
      </w:r>
    </w:p>
    <w:p>
      <w:r>
        <w:rPr>
          <w:rFonts w:ascii="Arial" w:hAnsi="Arial"/>
          <w:b w:val="0"/>
          <w:i w:val="0"/>
          <w:sz w:val="20"/>
        </w:rPr>
        <w:t>SOP 15 — Chart of Accounts Maintenance</w:t>
      </w:r>
    </w:p>
    <w:p>
      <w:r>
        <w:rPr>
          <w:rFonts w:ascii="Arial" w:hAnsi="Arial"/>
          <w:b w:val="0"/>
          <w:i w:val="0"/>
          <w:sz w:val="20"/>
        </w:rPr>
        <w:t>SOP 16 — Document Retention &amp; Records Management</w:t>
      </w:r>
    </w:p>
    <w:p>
      <w:r>
        <w:rPr>
          <w:rFonts w:ascii="Arial" w:hAnsi="Arial"/>
          <w:b w:val="0"/>
          <w:i w:val="0"/>
          <w:sz w:val="20"/>
        </w:rPr>
        <w:t>SOP 17 — Monthly Close Process</w:t>
      </w:r>
    </w:p>
    <w:p>
      <w:r>
        <w:rPr>
          <w:rFonts w:ascii="Arial" w:hAnsi="Arial"/>
          <w:b w:val="0"/>
          <w:i w:val="0"/>
          <w:sz w:val="20"/>
        </w:rPr>
        <w:t>SOP 18 — Journal Entries &amp; Manual Adjustments</w:t>
      </w:r>
    </w:p>
    <w:p>
      <w:r>
        <w:rPr>
          <w:rFonts w:ascii="Arial" w:hAnsi="Arial"/>
          <w:b w:val="0"/>
          <w:i w:val="0"/>
          <w:sz w:val="20"/>
        </w:rPr>
        <w:t>SOP 19 — System Access &amp; User Provisioning</w:t>
      </w:r>
    </w:p>
    <w:p>
      <w:r>
        <w:rPr>
          <w:rFonts w:ascii="Arial" w:hAnsi="Arial"/>
          <w:b w:val="0"/>
          <w:i w:val="0"/>
          <w:sz w:val="20"/>
        </w:rPr>
        <w:t>SOP 20 — Internal Controls Review &amp; Monthly Oversight</w:t>
      </w:r>
    </w:p>
    <w:p>
      <w:r>
        <w:rPr>
          <w:rFonts w:ascii="Arial" w:hAnsi="Arial"/>
          <w:b w:val="0"/>
          <w:i w:val="0"/>
          <w:sz w:val="20"/>
        </w:rPr>
        <w:t>SOP 21 — Form 8300 Large Cash Receipt Reporting</w:t>
      </w:r>
    </w:p>
    <w:p>
      <w:r/>
    </w:p>
    <w:p>
      <w:pPr>
        <w:spacing w:after="40"/>
      </w:pPr>
      <w:r>
        <w:rPr>
          <w:rFonts w:ascii="Calibri" w:hAnsi="Calibri"/>
          <w:b/>
          <w:color w:val="707070"/>
          <w:sz w:val="16"/>
          <w:spacing w:val="30"/>
        </w:rPr>
        <w:t>FINANCIAL FOUNDATIONS · STANDARD OPERATING PROCEDURE EXAMPLE — FOR TRAINING USE</w:t>
      </w:r>
    </w:p>
    <w:p>
      <w:pPr>
        <w:spacing w:after="20"/>
      </w:pPr>
      <w:r>
        <w:rPr>
          <w:rFonts w:ascii="Calibri" w:hAnsi="Calibri"/>
          <w:b/>
          <w:color w:val="5A2A4D"/>
          <w:sz w:val="48"/>
        </w:rPr>
        <w:t>Cash Handling</w:t>
      </w:r>
    </w:p>
    <w:p>
      <w:pPr>
        <w:spacing w:after="120"/>
        <w:pBdr>
          <w:bottom w:val="single" w:sz="10" w:space="3" w:color="D8C7D1"/>
        </w:pBdr>
      </w:pPr>
      <w:r>
        <w:rPr>
          <w:rFonts w:ascii="Calibri" w:hAnsi="Calibri"/>
          <w:color w:val="2B2B2B"/>
          <w:sz w:val="24"/>
        </w:rPr>
        <w:t>Priority-1 Standard Operating Procedure · the Company</w:t>
      </w:r>
    </w:p>
    <w:p>
      <w:pPr>
        <w:spacing w:after="180"/>
      </w:pPr>
      <w:r>
        <w:rPr>
          <w:rFonts w:ascii="Calibri" w:hAnsi="Calibri"/>
          <w:i/>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800"/>
            <w:shd w:val="clear" w:color="auto" w:fill="EFE3EA"/>
          </w:tcPr>
          <w:p>
            <w:pPr>
              <w:spacing w:after="0" w:before="0"/>
            </w:pPr>
            <w:r/>
            <w:r>
              <w:rPr>
                <w:rFonts w:ascii="Calibri" w:hAnsi="Calibri"/>
                <w:b/>
                <w:i w:val="0"/>
                <w:color w:val="5A2A4D"/>
                <w:sz w:val="18"/>
              </w:rPr>
              <w:t>SOP ID</w:t>
            </w:r>
          </w:p>
        </w:tc>
        <w:tc>
          <w:tcPr>
            <w:tcW w:type="dxa" w:w="2880"/>
          </w:tcPr>
          <w:p>
            <w:pPr>
              <w:spacing w:after="0" w:before="0"/>
            </w:pPr>
            <w:r>
              <w:t xml:space="preserve">SOP </w:t>
            </w:r>
            <w:r>
              <w:rPr>
                <w:rFonts w:ascii="Calibri" w:hAnsi="Calibri"/>
                <w:b w:val="0"/>
                <w:i w:val="0"/>
                <w:color w:val="2B2B2B"/>
                <w:sz w:val="18"/>
              </w:rPr>
              <w:t>01 — Cash Handling</w:t>
            </w:r>
          </w:p>
        </w:tc>
        <w:tc>
          <w:tcPr>
            <w:tcW w:type="dxa" w:w="1800"/>
            <w:shd w:val="clear" w:color="auto" w:fill="EFE3EA"/>
          </w:tcPr>
          <w:p>
            <w:pPr>
              <w:spacing w:after="0" w:before="0"/>
            </w:pPr>
            <w:r/>
            <w:r>
              <w:rPr>
                <w:rFonts w:ascii="Calibri" w:hAnsi="Calibri"/>
                <w:b/>
                <w:i w:val="0"/>
                <w:color w:val="5A2A4D"/>
                <w:sz w:val="18"/>
              </w:rPr>
              <w:t>Version</w:t>
            </w:r>
          </w:p>
        </w:tc>
        <w:tc>
          <w:tcPr>
            <w:tcW w:type="dxa" w:w="2880"/>
          </w:tcPr>
          <w:p>
            <w:pPr>
              <w:spacing w:after="0" w:before="0"/>
            </w:pPr>
            <w:r/>
            <w:r>
              <w:rPr>
                <w:rFonts w:ascii="Calibri" w:hAnsi="Calibri"/>
                <w:b w:val="0"/>
                <w:i w:val="0"/>
                <w:color w:val="2B2B2B"/>
                <w:sz w:val="18"/>
              </w:rPr>
              <w:t>Sample v1.0</w:t>
            </w:r>
          </w:p>
        </w:tc>
      </w:tr>
      <w:tr>
        <w:tc>
          <w:tcPr>
            <w:tcW w:type="dxa" w:w="1800"/>
            <w:shd w:val="clear" w:color="auto" w:fill="EFE3EA"/>
          </w:tcPr>
          <w:p>
            <w:pPr>
              <w:spacing w:after="0" w:before="0"/>
            </w:pPr>
            <w:r/>
            <w:r>
              <w:rPr>
                <w:rFonts w:ascii="Calibri" w:hAnsi="Calibri"/>
                <w:b/>
                <w:i w:val="0"/>
                <w:color w:val="5A2A4D"/>
                <w:sz w:val="18"/>
              </w:rPr>
              <w:t>Process Owner</w:t>
            </w:r>
          </w:p>
        </w:tc>
        <w:tc>
          <w:tcPr>
            <w:tcW w:type="dxa" w:w="2880"/>
          </w:tcPr>
          <w:p>
            <w:pPr>
              <w:spacing w:after="0" w:before="0"/>
            </w:pPr>
            <w:r/>
            <w:r>
              <w:rPr>
                <w:rFonts w:ascii="Calibri" w:hAnsi="Calibri"/>
                <w:b w:val="0"/>
                <w:i w:val="0"/>
                <w:color w:val="2B2B2B"/>
                <w:sz w:val="18"/>
              </w:rPr>
              <w:t>Operations Manager / Vault Custodian</w:t>
            </w:r>
          </w:p>
        </w:tc>
        <w:tc>
          <w:tcPr>
            <w:tcW w:type="dxa" w:w="1800"/>
            <w:shd w:val="clear" w:color="auto" w:fill="EFE3EA"/>
          </w:tcPr>
          <w:p>
            <w:pPr>
              <w:spacing w:after="0" w:before="0"/>
            </w:pPr>
            <w:r/>
            <w:r>
              <w:rPr>
                <w:rFonts w:ascii="Calibri" w:hAnsi="Calibri"/>
                <w:b/>
                <w:i w:val="0"/>
                <w:color w:val="5A2A4D"/>
                <w:sz w:val="18"/>
              </w:rPr>
              <w:t>Effective Date</w:t>
            </w:r>
          </w:p>
        </w:tc>
        <w:tc>
          <w:tcPr>
            <w:tcW w:type="dxa" w:w="2880"/>
          </w:tcPr>
          <w:p>
            <w:pPr>
              <w:spacing w:after="0" w:before="0"/>
            </w:pPr>
            <w:r/>
            <w:r>
              <w:rPr>
                <w:rFonts w:ascii="Calibri" w:hAnsi="Calibri"/>
                <w:b w:val="0"/>
                <w:i w:val="0"/>
                <w:color w:val="2B2B2B"/>
                <w:sz w:val="18"/>
              </w:rPr>
              <w:t>Sample — training use</w:t>
            </w:r>
          </w:p>
        </w:tc>
      </w:tr>
      <w:tr>
        <w:tc>
          <w:tcPr>
            <w:tcW w:type="dxa" w:w="1800"/>
            <w:shd w:val="clear" w:color="auto" w:fill="EFE3EA"/>
          </w:tcPr>
          <w:p>
            <w:pPr>
              <w:spacing w:after="0" w:before="0"/>
            </w:pPr>
            <w:r/>
            <w:r>
              <w:rPr>
                <w:rFonts w:ascii="Calibri" w:hAnsi="Calibri"/>
                <w:b/>
                <w:i w:val="0"/>
                <w:color w:val="5A2A4D"/>
                <w:sz w:val="18"/>
              </w:rPr>
              <w:t>Prepared By</w:t>
            </w:r>
          </w:p>
        </w:tc>
        <w:tc>
          <w:tcPr>
            <w:tcW w:type="dxa" w:w="2880"/>
          </w:tcPr>
          <w:p>
            <w:pPr>
              <w:spacing w:after="0" w:before="0"/>
            </w:pPr>
            <w:r/>
            <w:r>
              <w:rPr>
                <w:rFonts w:ascii="Calibri" w:hAnsi="Calibri"/>
                <w:b w:val="0"/>
                <w:i w:val="0"/>
                <w:color w:val="2B2B2B"/>
                <w:sz w:val="18"/>
              </w:rPr>
              <w:t>Controller</w:t>
            </w:r>
          </w:p>
        </w:tc>
        <w:tc>
          <w:tcPr>
            <w:tcW w:type="dxa" w:w="1800"/>
            <w:shd w:val="clear" w:color="auto" w:fill="EFE3EA"/>
          </w:tcPr>
          <w:p>
            <w:pPr>
              <w:spacing w:after="0" w:before="0"/>
            </w:pPr>
            <w:r/>
            <w:r>
              <w:rPr>
                <w:rFonts w:ascii="Calibri" w:hAnsi="Calibri"/>
                <w:b/>
                <w:i w:val="0"/>
                <w:color w:val="5A2A4D"/>
                <w:sz w:val="18"/>
              </w:rPr>
              <w:t>Review Cadence</w:t>
            </w:r>
          </w:p>
        </w:tc>
        <w:tc>
          <w:tcPr>
            <w:tcW w:type="dxa" w:w="2880"/>
          </w:tcPr>
          <w:p>
            <w:pPr>
              <w:spacing w:after="0" w:before="0"/>
            </w:pPr>
            <w:r/>
            <w:r>
              <w:rPr>
                <w:rFonts w:ascii="Calibri" w:hAnsi="Calibri"/>
                <w:b w:val="0"/>
                <w:i w:val="0"/>
                <w:color w:val="2B2B2B"/>
                <w:sz w:val="18"/>
              </w:rPr>
              <w:t>Annual, or on process change</w:t>
            </w:r>
          </w:p>
        </w:tc>
      </w:tr>
    </w:tbl>
    <w:p>
      <w:pPr>
        <w:spacing w:before="240" w:after="100"/>
        <w:pBdr>
          <w:bottom w:val="single" w:sz="10" w:space="3" w:color="D8C7D1"/>
        </w:pBdr>
      </w:pPr>
      <w:r>
        <w:rPr>
          <w:rFonts w:ascii="Calibri" w:hAnsi="Calibri"/>
          <w:b/>
          <w:color w:val="5A2A4D"/>
          <w:sz w:val="23"/>
          <w:spacing w:val="14"/>
        </w:rPr>
        <w:t>1. Purpose</w:t>
      </w:r>
    </w:p>
    <w:p>
      <w:pPr>
        <w:spacing w:after="120"/>
      </w:pPr>
      <w:r>
        <w:rPr>
          <w:rFonts w:ascii="Calibri" w:hAnsi="Calibri"/>
          <w:i w:val="0"/>
          <w:color w:val="2B2B2B"/>
          <w:sz w:val="21"/>
        </w:rPr>
        <w:t>This procedure establishes standardized, auditable steps for the receipt, counting, securing, transport, and deposit of cash at the Company. Cannabis retail is a cash-intensive business because of federal banking constraints, which makes disciplined cash handling one of the business’s primary fraud- and loss-prevention controls. The procedure ensures every movement of cash is documented, witnessed, and reconcilable, and that responsibility for cash is clearly assigned at each stage.</w:t>
      </w:r>
    </w:p>
    <w:p>
      <w:pPr>
        <w:spacing w:before="240" w:after="100"/>
        <w:pBdr>
          <w:bottom w:val="single" w:sz="10" w:space="3" w:color="D8C7D1"/>
        </w:pBdr>
      </w:pPr>
      <w:r>
        <w:rPr>
          <w:rFonts w:ascii="Calibri" w:hAnsi="Calibri"/>
          <w:b/>
          <w:color w:val="5A2A4D"/>
          <w:sz w:val="23"/>
          <w:spacing w:val="14"/>
        </w:rPr>
        <w:t>2. Scope</w:t>
      </w:r>
    </w:p>
    <w:p>
      <w:pPr>
        <w:spacing w:after="120"/>
      </w:pPr>
      <w:r>
        <w:rPr>
          <w:rFonts w:ascii="Calibri" w:hAnsi="Calibri"/>
          <w:i w:val="0"/>
          <w:color w:val="2B2B2B"/>
          <w:sz w:val="21"/>
        </w:rPr>
        <w:t>This procedure applies to all cash received through retail dispensing operations at the Company — from the opening of a register drawer through deposit at the financial institution. It covers register drawers, mid-shift cash drops, the vault or safe, cash transport, and bank deposits. Non-cash tender (debit and electronic payments) is outside this procedure except where reconciled alongside cash; daily sales reconciliation is addressed in SOP 03. This procedure does not establish tax positions or banking arrangements.</w:t>
      </w:r>
    </w:p>
    <w:p>
      <w:pPr>
        <w:spacing w:before="240" w:after="100"/>
        <w:pBdr>
          <w:bottom w:val="single" w:sz="10" w:space="3" w:color="D8C7D1"/>
        </w:pBdr>
      </w:pPr>
      <w:r>
        <w:rPr>
          <w:rFonts w:ascii="Calibri" w:hAnsi="Calibri"/>
          <w:b/>
          <w:color w:val="5A2A4D"/>
          <w:sz w:val="23"/>
          <w:spacing w:val="14"/>
        </w:rPr>
        <w:t>3. Definitions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376"/>
            <w:shd w:val="clear" w:color="auto" w:fill="5A2A4D"/>
          </w:tcPr>
          <w:p>
            <w:pPr>
              <w:spacing w:after="0" w:before="0"/>
            </w:pPr>
            <w:r/>
            <w:r>
              <w:rPr>
                <w:rFonts w:ascii="Calibri" w:hAnsi="Calibri"/>
                <w:b/>
                <w:i w:val="0"/>
                <w:color w:val="FFFFFF"/>
                <w:sz w:val="17"/>
              </w:rPr>
              <w:t>Term</w:t>
            </w:r>
          </w:p>
        </w:tc>
        <w:tc>
          <w:tcPr>
            <w:tcW w:type="dxa" w:w="6984"/>
            <w:shd w:val="clear" w:color="auto" w:fill="5A2A4D"/>
          </w:tcPr>
          <w:p>
            <w:pPr>
              <w:spacing w:after="0" w:before="0"/>
            </w:pPr>
            <w:r/>
            <w:r>
              <w:rPr>
                <w:rFonts w:ascii="Calibri" w:hAnsi="Calibri"/>
                <w:b/>
                <w:i w:val="0"/>
                <w:color w:val="FFFFFF"/>
                <w:sz w:val="17"/>
              </w:rPr>
              <w:t>Definition</w:t>
            </w:r>
          </w:p>
        </w:tc>
      </w:tr>
      <w:tr>
        <w:tc>
          <w:tcPr>
            <w:tcW w:type="dxa" w:w="2376"/>
            <w:vAlign w:val="center"/>
          </w:tcPr>
          <w:p>
            <w:pPr>
              <w:spacing w:after="0" w:before="0"/>
            </w:pPr>
            <w:r/>
            <w:r>
              <w:rPr>
                <w:rFonts w:ascii="Calibri" w:hAnsi="Calibri"/>
                <w:b/>
                <w:i w:val="0"/>
                <w:color w:val="5A2A4D"/>
                <w:sz w:val="18"/>
              </w:rPr>
              <w:t>Float / Starting Bank</w:t>
            </w:r>
          </w:p>
        </w:tc>
        <w:tc>
          <w:tcPr>
            <w:tcW w:type="dxa" w:w="6984"/>
            <w:vAlign w:val="center"/>
          </w:tcPr>
          <w:p>
            <w:pPr>
              <w:spacing w:after="0" w:before="0"/>
            </w:pPr>
            <w:r/>
            <w:r>
              <w:rPr>
                <w:rFonts w:ascii="Calibri" w:hAnsi="Calibri"/>
                <w:b w:val="0"/>
                <w:i w:val="0"/>
                <w:color w:val="2B2B2B"/>
                <w:sz w:val="18"/>
              </w:rPr>
              <w:t>The fixed amount of cash placed in a drawer at the start of a shift for making change.</w:t>
            </w:r>
          </w:p>
        </w:tc>
      </w:tr>
      <w:tr>
        <w:tc>
          <w:tcPr>
            <w:tcW w:type="dxa" w:w="2376"/>
            <w:vAlign w:val="center"/>
          </w:tcPr>
          <w:p>
            <w:pPr>
              <w:spacing w:after="0" w:before="0"/>
            </w:pPr>
            <w:r/>
            <w:r>
              <w:rPr>
                <w:rFonts w:ascii="Calibri" w:hAnsi="Calibri"/>
                <w:b/>
                <w:i w:val="0"/>
                <w:color w:val="5A2A4D"/>
                <w:sz w:val="18"/>
              </w:rPr>
              <w:t>Cash Drop</w:t>
            </w:r>
          </w:p>
        </w:tc>
        <w:tc>
          <w:tcPr>
            <w:tcW w:type="dxa" w:w="6984"/>
            <w:vAlign w:val="center"/>
          </w:tcPr>
          <w:p>
            <w:pPr>
              <w:spacing w:after="0" w:before="0"/>
            </w:pPr>
            <w:r/>
            <w:r>
              <w:rPr>
                <w:rFonts w:ascii="Calibri" w:hAnsi="Calibri"/>
                <w:b w:val="0"/>
                <w:i w:val="0"/>
                <w:color w:val="2B2B2B"/>
                <w:sz w:val="18"/>
              </w:rPr>
              <w:t>The logged removal of cash from a drawer to the vault during a shift when cash on hand exceeds the set threshold.</w:t>
            </w:r>
          </w:p>
        </w:tc>
      </w:tr>
      <w:tr>
        <w:tc>
          <w:tcPr>
            <w:tcW w:type="dxa" w:w="2376"/>
            <w:vAlign w:val="center"/>
          </w:tcPr>
          <w:p>
            <w:pPr>
              <w:spacing w:after="0" w:before="0"/>
            </w:pPr>
            <w:r/>
            <w:r>
              <w:rPr>
                <w:rFonts w:ascii="Calibri" w:hAnsi="Calibri"/>
                <w:b/>
                <w:i w:val="0"/>
                <w:color w:val="5A2A4D"/>
                <w:sz w:val="18"/>
              </w:rPr>
              <w:t>Vault / Safe</w:t>
            </w:r>
          </w:p>
        </w:tc>
        <w:tc>
          <w:tcPr>
            <w:tcW w:type="dxa" w:w="6984"/>
            <w:vAlign w:val="center"/>
          </w:tcPr>
          <w:p>
            <w:pPr>
              <w:spacing w:after="0" w:before="0"/>
            </w:pPr>
            <w:r/>
            <w:r>
              <w:rPr>
                <w:rFonts w:ascii="Calibri" w:hAnsi="Calibri"/>
                <w:b w:val="0"/>
                <w:i w:val="0"/>
                <w:color w:val="2B2B2B"/>
                <w:sz w:val="18"/>
              </w:rPr>
              <w:t>The secured container or room where cash is held outside of active drawers, pending deposit.</w:t>
            </w:r>
          </w:p>
        </w:tc>
      </w:tr>
      <w:tr>
        <w:tc>
          <w:tcPr>
            <w:tcW w:type="dxa" w:w="2376"/>
            <w:vAlign w:val="center"/>
          </w:tcPr>
          <w:p>
            <w:pPr>
              <w:spacing w:after="0" w:before="0"/>
            </w:pPr>
            <w:r/>
            <w:r>
              <w:rPr>
                <w:rFonts w:ascii="Calibri" w:hAnsi="Calibri"/>
                <w:b/>
                <w:i w:val="0"/>
                <w:color w:val="5A2A4D"/>
                <w:sz w:val="18"/>
              </w:rPr>
              <w:t>Over / Short</w:t>
            </w:r>
          </w:p>
        </w:tc>
        <w:tc>
          <w:tcPr>
            <w:tcW w:type="dxa" w:w="6984"/>
            <w:vAlign w:val="center"/>
          </w:tcPr>
          <w:p>
            <w:pPr>
              <w:spacing w:after="0" w:before="0"/>
            </w:pPr>
            <w:r/>
            <w:r>
              <w:rPr>
                <w:rFonts w:ascii="Calibri" w:hAnsi="Calibri"/>
                <w:b w:val="0"/>
                <w:i w:val="0"/>
                <w:color w:val="2B2B2B"/>
                <w:sz w:val="18"/>
              </w:rPr>
              <w:t>The difference between the cash a drawer should hold and the cash actually counted.</w:t>
            </w:r>
          </w:p>
        </w:tc>
      </w:tr>
      <w:tr>
        <w:tc>
          <w:tcPr>
            <w:tcW w:type="dxa" w:w="2376"/>
            <w:vAlign w:val="center"/>
          </w:tcPr>
          <w:p>
            <w:pPr>
              <w:spacing w:after="0" w:before="0"/>
            </w:pPr>
            <w:r/>
            <w:r>
              <w:rPr>
                <w:rFonts w:ascii="Calibri" w:hAnsi="Calibri"/>
                <w:b/>
                <w:i w:val="0"/>
                <w:color w:val="5A2A4D"/>
                <w:sz w:val="18"/>
              </w:rPr>
              <w:t>Deposit</w:t>
            </w:r>
          </w:p>
        </w:tc>
        <w:tc>
          <w:tcPr>
            <w:tcW w:type="dxa" w:w="6984"/>
            <w:vAlign w:val="center"/>
          </w:tcPr>
          <w:p>
            <w:pPr>
              <w:spacing w:after="0" w:before="0"/>
            </w:pPr>
            <w:r/>
            <w:r>
              <w:rPr>
                <w:rFonts w:ascii="Calibri" w:hAnsi="Calibri"/>
                <w:b w:val="0"/>
                <w:i w:val="0"/>
                <w:color w:val="2B2B2B"/>
                <w:sz w:val="18"/>
              </w:rPr>
              <w:t>The transfer of accumulated cash to the Company’s financial institution, supported by a deposit record.</w:t>
            </w:r>
          </w:p>
        </w:tc>
      </w:tr>
    </w:tbl>
    <w:p>
      <w:pPr>
        <w:spacing w:before="240" w:after="100"/>
        <w:pBdr>
          <w:bottom w:val="single" w:sz="10" w:space="3" w:color="D8C7D1"/>
        </w:pBdr>
      </w:pPr>
      <w:r>
        <w:rPr>
          <w:rFonts w:ascii="Calibri" w:hAnsi="Calibri"/>
          <w:b/>
          <w:color w:val="5A2A4D"/>
          <w:sz w:val="23"/>
          <w:spacing w:val="14"/>
        </w:rPr>
        <w:t>4. Roles &amp; Responsibilities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808"/>
            <w:shd w:val="clear" w:color="auto" w:fill="5A2A4D"/>
          </w:tcPr>
          <w:p>
            <w:pPr>
              <w:spacing w:after="0" w:before="0"/>
            </w:pPr>
            <w:r/>
            <w:r>
              <w:rPr>
                <w:rFonts w:ascii="Calibri" w:hAnsi="Calibri"/>
                <w:b/>
                <w:i w:val="0"/>
                <w:color w:val="FFFFFF"/>
                <w:sz w:val="17"/>
              </w:rPr>
              <w:t>Role</w:t>
            </w:r>
          </w:p>
        </w:tc>
        <w:tc>
          <w:tcPr>
            <w:tcW w:type="dxa" w:w="6552"/>
            <w:shd w:val="clear" w:color="auto" w:fill="5A2A4D"/>
          </w:tcPr>
          <w:p>
            <w:pPr>
              <w:spacing w:after="0" w:before="0"/>
            </w:pPr>
            <w:r/>
            <w:r>
              <w:rPr>
                <w:rFonts w:ascii="Calibri" w:hAnsi="Calibri"/>
                <w:b/>
                <w:i w:val="0"/>
                <w:color w:val="FFFFFF"/>
                <w:sz w:val="17"/>
              </w:rPr>
              <w:t>Responsibility</w:t>
            </w:r>
          </w:p>
        </w:tc>
      </w:tr>
      <w:tr>
        <w:tc>
          <w:tcPr>
            <w:tcW w:type="dxa" w:w="2808"/>
            <w:vAlign w:val="center"/>
          </w:tcPr>
          <w:p>
            <w:pPr>
              <w:spacing w:after="0" w:before="0"/>
            </w:pPr>
            <w:r/>
            <w:r>
              <w:rPr>
                <w:rFonts w:ascii="Calibri" w:hAnsi="Calibri"/>
                <w:b/>
                <w:i w:val="0"/>
                <w:color w:val="5A2A4D"/>
                <w:sz w:val="18"/>
              </w:rPr>
              <w:t>Front-line Staff (front-line staff member, cultivation, or production)</w:t>
            </w:r>
          </w:p>
        </w:tc>
        <w:tc>
          <w:tcPr>
            <w:tcW w:type="dxa" w:w="6552"/>
            <w:vAlign w:val="center"/>
          </w:tcPr>
          <w:p>
            <w:pPr>
              <w:spacing w:after="0" w:before="0"/>
            </w:pPr>
            <w:r/>
            <w:r>
              <w:rPr>
                <w:rFonts w:ascii="Calibri" w:hAnsi="Calibri"/>
                <w:b w:val="0"/>
                <w:i w:val="0"/>
                <w:color w:val="2B2B2B"/>
                <w:sz w:val="18"/>
              </w:rPr>
              <w:t>Operates one assigned drawer per shift; counts the float at open and close; signs all counts; rings every cash sale through POS system.</w:t>
            </w:r>
          </w:p>
        </w:tc>
      </w:tr>
      <w:tr>
        <w:tc>
          <w:tcPr>
            <w:tcW w:type="dxa" w:w="2808"/>
            <w:vAlign w:val="center"/>
          </w:tcPr>
          <w:p>
            <w:pPr>
              <w:spacing w:after="0" w:before="0"/>
            </w:pPr>
            <w:r/>
            <w:r>
              <w:rPr>
                <w:rFonts w:ascii="Calibri" w:hAnsi="Calibri"/>
                <w:b/>
                <w:i w:val="0"/>
                <w:color w:val="5A2A4D"/>
                <w:sz w:val="18"/>
              </w:rPr>
              <w:t>Shift Lead / Manager on Duty</w:t>
            </w:r>
          </w:p>
        </w:tc>
        <w:tc>
          <w:tcPr>
            <w:tcW w:type="dxa" w:w="6552"/>
            <w:vAlign w:val="center"/>
          </w:tcPr>
          <w:p>
            <w:pPr>
              <w:spacing w:after="0" w:before="0"/>
            </w:pPr>
            <w:r/>
            <w:r>
              <w:rPr>
                <w:rFonts w:ascii="Calibri" w:hAnsi="Calibri"/>
                <w:b w:val="0"/>
                <w:i w:val="0"/>
                <w:color w:val="2B2B2B"/>
                <w:sz w:val="18"/>
              </w:rPr>
              <w:t>Witnesses drawer assignment and counts; performs mid-shift cash drops; investigates over/short variances the same business day.</w:t>
            </w:r>
          </w:p>
        </w:tc>
      </w:tr>
      <w:tr>
        <w:tc>
          <w:tcPr>
            <w:tcW w:type="dxa" w:w="2808"/>
            <w:vAlign w:val="center"/>
          </w:tcPr>
          <w:p>
            <w:pPr>
              <w:spacing w:after="0" w:before="0"/>
            </w:pPr>
            <w:r/>
            <w:r>
              <w:rPr>
                <w:rFonts w:ascii="Calibri" w:hAnsi="Calibri"/>
                <w:b/>
                <w:i w:val="0"/>
                <w:color w:val="5A2A4D"/>
                <w:sz w:val="18"/>
              </w:rPr>
              <w:t>Vault Custodian (designated)</w:t>
            </w:r>
          </w:p>
        </w:tc>
        <w:tc>
          <w:tcPr>
            <w:tcW w:type="dxa" w:w="6552"/>
            <w:vAlign w:val="center"/>
          </w:tcPr>
          <w:p>
            <w:pPr>
              <w:spacing w:after="0" w:before="0"/>
            </w:pPr>
            <w:r/>
            <w:r>
              <w:rPr>
                <w:rFonts w:ascii="Calibri" w:hAnsi="Calibri"/>
                <w:b w:val="0"/>
                <w:i w:val="0"/>
                <w:color w:val="2B2B2B"/>
                <w:sz w:val="18"/>
              </w:rPr>
              <w:t>Controls vault access; logs every drop received; prepares bank deposits; reconciles the vault to signed slips daily.</w:t>
            </w:r>
          </w:p>
        </w:tc>
      </w:tr>
      <w:tr>
        <w:tc>
          <w:tcPr>
            <w:tcW w:type="dxa" w:w="2808"/>
            <w:vAlign w:val="center"/>
          </w:tcPr>
          <w:p>
            <w:pPr>
              <w:spacing w:after="0" w:before="0"/>
            </w:pPr>
            <w:r/>
            <w:r>
              <w:rPr>
                <w:rFonts w:ascii="Calibri" w:hAnsi="Calibri"/>
                <w:b/>
                <w:i w:val="0"/>
                <w:color w:val="5A2A4D"/>
                <w:sz w:val="18"/>
              </w:rPr>
              <w:t>Accounting (the outsourced accounting provider / in-house lead)</w:t>
            </w:r>
          </w:p>
        </w:tc>
        <w:tc>
          <w:tcPr>
            <w:tcW w:type="dxa" w:w="6552"/>
            <w:vAlign w:val="center"/>
          </w:tcPr>
          <w:p>
            <w:pPr>
              <w:spacing w:after="0" w:before="0"/>
            </w:pPr>
            <w:r/>
            <w:r>
              <w:rPr>
                <w:rFonts w:ascii="Calibri" w:hAnsi="Calibri"/>
                <w:b w:val="0"/>
                <w:i w:val="0"/>
                <w:color w:val="2B2B2B"/>
                <w:sz w:val="18"/>
              </w:rPr>
              <w:t>Reconciles daily cash to POS system and the bank; reviews the variance log; books related entries. Does not handle or count cash.</w:t>
            </w:r>
          </w:p>
        </w:tc>
      </w:tr>
      <w:tr>
        <w:tc>
          <w:tcPr>
            <w:tcW w:type="dxa" w:w="2808"/>
            <w:vAlign w:val="center"/>
          </w:tcPr>
          <w:p>
            <w:pPr>
              <w:spacing w:after="0" w:before="0"/>
            </w:pPr>
            <w:r/>
            <w:r>
              <w:rPr>
                <w:rFonts w:ascii="Calibri" w:hAnsi="Calibri"/>
                <w:b/>
                <w:i w:val="0"/>
                <w:color w:val="5A2A4D"/>
                <w:sz w:val="18"/>
              </w:rPr>
              <w:t>Controller</w:t>
            </w:r>
          </w:p>
        </w:tc>
        <w:tc>
          <w:tcPr>
            <w:tcW w:type="dxa" w:w="6552"/>
            <w:vAlign w:val="center"/>
          </w:tcPr>
          <w:p>
            <w:pPr>
              <w:spacing w:after="0" w:before="0"/>
            </w:pPr>
            <w:r/>
            <w:r>
              <w:rPr>
                <w:rFonts w:ascii="Calibri" w:hAnsi="Calibri"/>
                <w:b w:val="0"/>
                <w:i w:val="0"/>
                <w:color w:val="2B2B2B"/>
                <w:sz w:val="18"/>
              </w:rPr>
              <w:t>Oversight — reviews controls and variance trends; performs independent periodic review of cash records.</w:t>
            </w:r>
          </w:p>
        </w:tc>
      </w:tr>
      <w:tr>
        <w:tc>
          <w:tcPr>
            <w:tcW w:type="dxa" w:w="2808"/>
            <w:vAlign w:val="center"/>
          </w:tcPr>
          <w:p>
            <w:pPr>
              <w:spacing w:after="0" w:before="0"/>
            </w:pPr>
            <w:r/>
            <w:r>
              <w:rPr>
                <w:rFonts w:ascii="Calibri" w:hAnsi="Calibri"/>
                <w:b/>
                <w:i w:val="0"/>
                <w:color w:val="5A2A4D"/>
                <w:sz w:val="18"/>
              </w:rPr>
              <w:t>Owner</w:t>
            </w:r>
          </w:p>
        </w:tc>
        <w:tc>
          <w:tcPr>
            <w:tcW w:type="dxa" w:w="6552"/>
            <w:vAlign w:val="center"/>
          </w:tcPr>
          <w:p>
            <w:pPr>
              <w:spacing w:after="0" w:before="0"/>
            </w:pPr>
            <w:r/>
            <w:r>
              <w:rPr>
                <w:rFonts w:ascii="Calibri" w:hAnsi="Calibri"/>
                <w:b w:val="0"/>
                <w:i w:val="0"/>
                <w:color w:val="2B2B2B"/>
                <w:sz w:val="18"/>
              </w:rPr>
              <w:t>Final authority on variance write-offs and on escalations above the established threshold.</w:t>
            </w:r>
          </w:p>
        </w:tc>
      </w:tr>
    </w:tbl>
    <w:p>
      <w:pPr>
        <w:spacing w:before="240" w:after="100"/>
        <w:pBdr>
          <w:bottom w:val="single" w:sz="10" w:space="3" w:color="D8C7D1"/>
        </w:pBdr>
      </w:pPr>
      <w:r>
        <w:rPr>
          <w:rFonts w:ascii="Calibri" w:hAnsi="Calibri"/>
          <w:b/>
          <w:color w:val="5A2A4D"/>
          <w:sz w:val="23"/>
          <w:spacing w:val="14"/>
        </w:rPr>
        <w:t>5. Procedure</w:t>
      </w:r>
    </w:p>
    <w:p>
      <w:pPr>
        <w:spacing w:before="140" w:after="60"/>
      </w:pPr>
      <w:r>
        <w:rPr>
          <w:rFonts w:ascii="Calibri" w:hAnsi="Calibri"/>
          <w:b/>
          <w:color w:val="5A2A4D"/>
          <w:sz w:val="20"/>
        </w:rPr>
        <w:t>A. Drawer Opening</w:t>
      </w:r>
    </w:p>
    <w:p>
      <w:pPr>
        <w:pStyle w:val="ListNumber"/>
        <w:numPr>
          <w:ilvl w:val="0"/>
          <w:numId w:val="10"/>
        </w:numPr>
        <w:spacing w:after="80"/>
      </w:pPr>
      <w:r>
        <w:rPr>
          <w:rFonts w:ascii="Calibri" w:hAnsi="Calibri"/>
          <w:b w:val="0"/>
          <w:color w:val="2B2B2B"/>
          <w:sz w:val="19"/>
        </w:rPr>
        <w:t>The Manager on Duty assigns each agent a uniquely identified drawer and a standard starting float. One agent per drawer per shift — drawers are never shared.</w:t>
      </w:r>
    </w:p>
    <w:p>
      <w:pPr>
        <w:pStyle w:val="ListNumber"/>
        <w:numPr>
          <w:ilvl w:val="0"/>
          <w:numId w:val="10"/>
        </w:numPr>
        <w:spacing w:after="80"/>
      </w:pPr>
      <w:r>
        <w:rPr>
          <w:rFonts w:ascii="Calibri" w:hAnsi="Calibri"/>
          <w:b w:val="0"/>
          <w:color w:val="2B2B2B"/>
          <w:sz w:val="19"/>
        </w:rPr>
        <w:t>The agent and the Manager each independently count the float; both initial the Drawer Count Sheet.</w:t>
      </w:r>
    </w:p>
    <w:p>
      <w:pPr>
        <w:pStyle w:val="ListNumber"/>
        <w:numPr>
          <w:ilvl w:val="0"/>
          <w:numId w:val="10"/>
        </w:numPr>
        <w:spacing w:after="80"/>
      </w:pPr>
      <w:r>
        <w:rPr>
          <w:rFonts w:ascii="Calibri" w:hAnsi="Calibri"/>
          <w:b w:val="0"/>
          <w:color w:val="2B2B2B"/>
          <w:sz w:val="19"/>
        </w:rPr>
        <w:t>The opening count is confirmed in POS system before the first sale.</w:t>
      </w:r>
    </w:p>
    <w:p>
      <w:pPr>
        <w:spacing w:before="140" w:after="60"/>
      </w:pPr>
      <w:r>
        <w:rPr>
          <w:rFonts w:ascii="Calibri" w:hAnsi="Calibri"/>
          <w:b/>
          <w:color w:val="5A2A4D"/>
          <w:sz w:val="20"/>
        </w:rPr>
        <w:t>B. During the Shift</w:t>
      </w:r>
    </w:p>
    <w:p>
      <w:pPr>
        <w:pStyle w:val="ListNumber"/>
        <w:numPr>
          <w:ilvl w:val="0"/>
          <w:numId w:val="10"/>
        </w:numPr>
        <w:spacing w:after="80"/>
      </w:pPr>
      <w:r>
        <w:rPr>
          <w:rFonts w:ascii="Calibri" w:hAnsi="Calibri"/>
          <w:b w:val="0"/>
          <w:color w:val="2B2B2B"/>
          <w:sz w:val="19"/>
        </w:rPr>
        <w:t>Every cash sale is rung through POS system at the point of sale; the drawer remains closed between transactions.</w:t>
      </w:r>
    </w:p>
    <w:p>
      <w:pPr>
        <w:pStyle w:val="ListNumber"/>
        <w:numPr>
          <w:ilvl w:val="0"/>
          <w:numId w:val="10"/>
        </w:numPr>
        <w:spacing w:after="80"/>
      </w:pPr>
      <w:r>
        <w:rPr>
          <w:rFonts w:ascii="Calibri" w:hAnsi="Calibri"/>
          <w:b w:val="0"/>
          <w:color w:val="2B2B2B"/>
          <w:sz w:val="19"/>
        </w:rPr>
        <w:t>When drawer cash exceeds the established threshold, the agent requests a cash drop. The Shift Lead removes the excess; both parties count and sign the Cash Drop Slip; the funds are moved to the vault.</w:t>
      </w:r>
    </w:p>
    <w:p>
      <w:pPr>
        <w:pStyle w:val="ListNumber"/>
        <w:numPr>
          <w:ilvl w:val="0"/>
          <w:numId w:val="10"/>
        </w:numPr>
        <w:spacing w:after="80"/>
      </w:pPr>
      <w:r>
        <w:rPr>
          <w:rFonts w:ascii="Calibri" w:hAnsi="Calibri"/>
          <w:b w:val="0"/>
          <w:color w:val="2B2B2B"/>
          <w:sz w:val="19"/>
        </w:rPr>
        <w:t>Cash leaves a drawer only through a logged drop or a documented, authorized transaction.</w:t>
      </w:r>
    </w:p>
    <w:p>
      <w:pPr>
        <w:spacing w:before="140" w:after="60"/>
      </w:pPr>
      <w:r>
        <w:rPr>
          <w:rFonts w:ascii="Calibri" w:hAnsi="Calibri"/>
          <w:b/>
          <w:color w:val="5A2A4D"/>
          <w:sz w:val="20"/>
        </w:rPr>
        <w:t>C. Drawer Closing</w:t>
      </w:r>
    </w:p>
    <w:p>
      <w:pPr>
        <w:pStyle w:val="ListNumber"/>
        <w:numPr>
          <w:ilvl w:val="0"/>
          <w:numId w:val="10"/>
        </w:numPr>
        <w:spacing w:after="80"/>
      </w:pPr>
      <w:r>
        <w:rPr>
          <w:rFonts w:ascii="Calibri" w:hAnsi="Calibri"/>
          <w:b w:val="0"/>
          <w:color w:val="2B2B2B"/>
          <w:sz w:val="19"/>
        </w:rPr>
        <w:t>At end of shift the agent counts the drawer; the Shift Lead independently recounts; both sign the Drawer Count Sheet.</w:t>
      </w:r>
    </w:p>
    <w:p>
      <w:pPr>
        <w:pStyle w:val="ListNumber"/>
        <w:numPr>
          <w:ilvl w:val="0"/>
          <w:numId w:val="10"/>
        </w:numPr>
        <w:spacing w:after="80"/>
      </w:pPr>
      <w:r>
        <w:rPr>
          <w:rFonts w:ascii="Calibri" w:hAnsi="Calibri"/>
          <w:b w:val="0"/>
          <w:color w:val="2B2B2B"/>
          <w:sz w:val="19"/>
        </w:rPr>
        <w:t>The float is reset for the next shift; cash above the float is dropped to the vault with a signed slip.</w:t>
      </w:r>
    </w:p>
    <w:p>
      <w:pPr>
        <w:pStyle w:val="ListNumber"/>
        <w:numPr>
          <w:ilvl w:val="0"/>
          <w:numId w:val="10"/>
        </w:numPr>
        <w:spacing w:after="80"/>
      </w:pPr>
      <w:r>
        <w:rPr>
          <w:rFonts w:ascii="Calibri" w:hAnsi="Calibri"/>
          <w:b w:val="0"/>
          <w:color w:val="2B2B2B"/>
          <w:sz w:val="19"/>
        </w:rPr>
        <w:t>Any over or short is recorded on the Cash Variance Log with the agent, drawer, amount, and explanation.</w:t>
      </w:r>
    </w:p>
    <w:p>
      <w:pPr>
        <w:spacing w:before="140" w:after="60"/>
      </w:pPr>
      <w:r>
        <w:rPr>
          <w:rFonts w:ascii="Calibri" w:hAnsi="Calibri"/>
          <w:b/>
          <w:color w:val="5A2A4D"/>
          <w:sz w:val="20"/>
        </w:rPr>
        <w:t>D. Vault &amp; Bank Deposit</w:t>
      </w:r>
    </w:p>
    <w:p>
      <w:pPr>
        <w:pStyle w:val="ListNumber"/>
        <w:numPr>
          <w:ilvl w:val="0"/>
          <w:numId w:val="10"/>
        </w:numPr>
        <w:spacing w:after="80"/>
      </w:pPr>
      <w:r>
        <w:rPr>
          <w:rFonts w:ascii="Calibri" w:hAnsi="Calibri"/>
          <w:b w:val="0"/>
          <w:color w:val="2B2B2B"/>
          <w:sz w:val="19"/>
        </w:rPr>
        <w:t>The Vault Custodian logs every drop received and reconciles the vault total to the sum of signed drop slips at end of day.</w:t>
      </w:r>
    </w:p>
    <w:p>
      <w:pPr>
        <w:pStyle w:val="ListNumber"/>
        <w:numPr>
          <w:ilvl w:val="0"/>
          <w:numId w:val="10"/>
        </w:numPr>
        <w:spacing w:after="80"/>
      </w:pPr>
      <w:r>
        <w:rPr>
          <w:rFonts w:ascii="Calibri" w:hAnsi="Calibri"/>
          <w:b w:val="0"/>
          <w:color w:val="2B2B2B"/>
          <w:sz w:val="19"/>
        </w:rPr>
        <w:t>The Custodian prepares the bank deposit; a second person independently verifies the count; both sign the Deposit Record.</w:t>
      </w:r>
    </w:p>
    <w:p>
      <w:pPr>
        <w:pStyle w:val="ListNumber"/>
        <w:numPr>
          <w:ilvl w:val="0"/>
          <w:numId w:val="10"/>
        </w:numPr>
        <w:spacing w:after="80"/>
      </w:pPr>
      <w:r>
        <w:rPr>
          <w:rFonts w:ascii="Calibri" w:hAnsi="Calibri"/>
          <w:b w:val="0"/>
          <w:color w:val="2B2B2B"/>
          <w:sz w:val="19"/>
        </w:rPr>
        <w:t>The deposit is transported under the secure transport protocol; the deposit slip and bank receipt are filed to document management system.</w:t>
      </w:r>
    </w:p>
    <w:p>
      <w:pPr>
        <w:pStyle w:val="ListNumber"/>
        <w:numPr>
          <w:ilvl w:val="0"/>
          <w:numId w:val="10"/>
        </w:numPr>
        <w:spacing w:after="80"/>
      </w:pPr>
      <w:r>
        <w:rPr>
          <w:rFonts w:ascii="Calibri" w:hAnsi="Calibri"/>
          <w:b w:val="0"/>
          <w:color w:val="2B2B2B"/>
          <w:sz w:val="19"/>
        </w:rPr>
        <w:t>Accounting reconciles the deposit to POS system daily sales and to the bank feed (see SOP 03, Daily Sales Reconciliation).</w:t>
      </w:r>
    </w:p>
    <w:p>
      <w:pPr>
        <w:spacing w:after="80"/>
      </w:pPr>
      <w:r>
        <w:rPr>
          <w:rFonts w:ascii="Calibri" w:hAnsi="Calibri"/>
          <w:i/>
          <w:color w:val="707070"/>
          <w:sz w:val="17"/>
        </w:rPr>
        <w:t>Amounts and cadence — starting float, cash-drop threshold, over/short tolerance, and deposit frequency — are operational decisions for Company management.</w:t>
      </w:r>
    </w:p>
    <w:p>
      <w:pPr>
        <w:spacing w:before="240" w:after="100"/>
        <w:pBdr>
          <w:bottom w:val="single" w:sz="10" w:space="3" w:color="D8C7D1"/>
        </w:pBdr>
      </w:pPr>
      <w:r>
        <w:rPr>
          <w:rFonts w:ascii="Calibri" w:hAnsi="Calibri"/>
          <w:b/>
          <w:color w:val="5A2A4D"/>
          <w:sz w:val="23"/>
          <w:spacing w:val="14"/>
        </w:rPr>
        <w:t>6. Internal Controls</w:t>
      </w:r>
    </w:p>
    <w:p>
      <w:pPr>
        <w:pStyle w:val="ListBullet"/>
        <w:spacing w:after="80"/>
      </w:pPr>
      <w:r>
        <w:rPr>
          <w:rFonts w:ascii="Calibri" w:hAnsi="Calibri"/>
          <w:b w:val="0"/>
          <w:color w:val="2B2B2B"/>
          <w:sz w:val="19"/>
        </w:rPr>
        <w:t>Dual control: the opening float, closing count, every drop, and every deposit are counted and signed by two people.</w:t>
      </w:r>
    </w:p>
    <w:p>
      <w:pPr>
        <w:pStyle w:val="ListBullet"/>
        <w:spacing w:after="80"/>
      </w:pPr>
      <w:r>
        <w:rPr>
          <w:rFonts w:ascii="Calibri" w:hAnsi="Calibri"/>
          <w:b w:val="0"/>
          <w:color w:val="2B2B2B"/>
          <w:sz w:val="19"/>
        </w:rPr>
        <w:t>Segregation of duties: the individuals who handle and count cash are separate from the individual who reconciles cash to the bank; the reconciler has no vault access.</w:t>
      </w:r>
    </w:p>
    <w:p>
      <w:pPr>
        <w:pStyle w:val="ListBullet"/>
        <w:spacing w:after="80"/>
      </w:pPr>
      <w:r>
        <w:rPr>
          <w:rFonts w:ascii="Calibri" w:hAnsi="Calibri"/>
          <w:b w:val="0"/>
          <w:color w:val="2B2B2B"/>
          <w:sz w:val="19"/>
        </w:rPr>
        <w:t>Unique drawer assignment: one agent per drawer per shift; no shared drawers and no shared system logins.</w:t>
      </w:r>
    </w:p>
    <w:p>
      <w:pPr>
        <w:pStyle w:val="ListBullet"/>
        <w:spacing w:after="80"/>
      </w:pPr>
      <w:r>
        <w:rPr>
          <w:rFonts w:ascii="Calibri" w:hAnsi="Calibri"/>
          <w:b w:val="0"/>
          <w:color w:val="2B2B2B"/>
          <w:sz w:val="19"/>
        </w:rPr>
        <w:t>All cash movements are recorded on sequentially numbered forms at the time they occur.</w:t>
      </w:r>
    </w:p>
    <w:p>
      <w:pPr>
        <w:pStyle w:val="ListBullet"/>
        <w:spacing w:after="80"/>
      </w:pPr>
      <w:r>
        <w:rPr>
          <w:rFonts w:ascii="Calibri" w:hAnsi="Calibri"/>
          <w:b w:val="0"/>
          <w:color w:val="2B2B2B"/>
          <w:sz w:val="19"/>
        </w:rPr>
        <w:t>A defined over/short tolerance triggers same-day Manager investigation; pattern variances escalate to Controller and Owner.</w:t>
      </w:r>
    </w:p>
    <w:p>
      <w:pPr>
        <w:pStyle w:val="ListBullet"/>
        <w:spacing w:after="80"/>
      </w:pPr>
      <w:r>
        <w:rPr>
          <w:rFonts w:ascii="Calibri" w:hAnsi="Calibri"/>
          <w:b w:val="0"/>
          <w:color w:val="2B2B2B"/>
          <w:sz w:val="19"/>
        </w:rPr>
        <w:t>Cash counting and vault activity take place within video surveillance coverage, and the cash room sits within the alarmed, access-controlled footprint of the premises.</w:t>
      </w:r>
    </w:p>
    <w:p>
      <w:pPr>
        <w:pStyle w:val="ListBullet"/>
        <w:spacing w:after="80"/>
      </w:pPr>
      <w:r>
        <w:rPr>
          <w:rFonts w:ascii="Calibri" w:hAnsi="Calibri"/>
          <w:b w:val="0"/>
          <w:color w:val="2B2B2B"/>
          <w:sz w:val="19"/>
        </w:rPr>
        <w:t>Vault access is restricted to designated custodians; the access list is maintained and reviewed periodically.</w:t>
      </w:r>
    </w:p>
    <w:p>
      <w:pPr>
        <w:spacing w:before="240" w:after="100"/>
        <w:pBdr>
          <w:bottom w:val="single" w:sz="10" w:space="3" w:color="D8C7D1"/>
        </w:pBdr>
      </w:pPr>
      <w:r>
        <w:rPr>
          <w:rFonts w:ascii="Calibri" w:hAnsi="Calibri"/>
          <w:b/>
          <w:color w:val="5A2A4D"/>
          <w:sz w:val="23"/>
          <w:spacing w:val="14"/>
        </w:rPr>
        <w:t>7. Regulatory &amp; Compliance Basis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2088"/>
            <w:shd w:val="clear" w:color="auto" w:fill="5A2A4D"/>
          </w:tcPr>
          <w:p>
            <w:pPr>
              <w:spacing w:after="0" w:before="0"/>
            </w:pPr>
            <w:r/>
            <w:r>
              <w:rPr>
                <w:rFonts w:ascii="Calibri" w:hAnsi="Calibri"/>
                <w:b/>
                <w:i w:val="0"/>
                <w:color w:val="FFFFFF"/>
                <w:sz w:val="16"/>
              </w:rPr>
              <w:t>Reference</w:t>
            </w:r>
          </w:p>
        </w:tc>
        <w:tc>
          <w:tcPr>
            <w:tcW w:type="dxa" w:w="6264"/>
            <w:shd w:val="clear" w:color="auto" w:fill="5A2A4D"/>
          </w:tcPr>
          <w:p>
            <w:pPr>
              <w:spacing w:after="0" w:before="0"/>
            </w:pPr>
            <w:r/>
            <w:r>
              <w:rPr>
                <w:rFonts w:ascii="Calibri" w:hAnsi="Calibri"/>
                <w:b/>
                <w:i w:val="0"/>
                <w:color w:val="FFFFFF"/>
                <w:sz w:val="16"/>
              </w:rPr>
              <w:t>Requirement / Basis</w:t>
            </w:r>
          </w:p>
        </w:tc>
        <w:tc>
          <w:tcPr>
            <w:tcW w:type="dxa" w:w="1008"/>
            <w:shd w:val="clear" w:color="auto" w:fill="5A2A4D"/>
          </w:tcPr>
          <w:p>
            <w:pPr>
              <w:spacing w:after="0" w:before="0"/>
            </w:pPr>
            <w:r/>
            <w:r>
              <w:rPr>
                <w:rFonts w:ascii="Calibri" w:hAnsi="Calibri"/>
                <w:b/>
                <w:i w:val="0"/>
                <w:color w:val="FFFFFF"/>
                <w:sz w:val="16"/>
              </w:rPr>
              <w:t>Class</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Security alarm systems must cover perimeter entry points, rooms holding cannabis, and on- and off-site record storage locations.</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24-Hour motion-activated video surveillance; recordings retained a minimum of 90 calendar days and produced to state cannabis regulator within 48 hours of request.</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tax statute; state regulator guidance</w:t>
            </w:r>
          </w:p>
        </w:tc>
        <w:tc>
          <w:tcPr>
            <w:tcW w:type="dxa" w:w="6264"/>
            <w:vAlign w:val="center"/>
          </w:tcPr>
          <w:p>
            <w:pPr>
              <w:spacing w:after="0" w:before="0"/>
            </w:pPr>
            <w:r/>
            <w:r>
              <w:rPr>
                <w:rFonts w:ascii="Calibri" w:hAnsi="Calibri"/>
                <w:b w:val="0"/>
                <w:i w:val="0"/>
                <w:color w:val="2B2B2B"/>
                <w:sz w:val="17"/>
              </w:rPr>
              <w:t>Applicable state cannabis sales/use tax applies to adult-use sales; medical sales are exempt. Tax is collected at point of sale and remitted by Accounting.</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Dual control over cash</w:t>
            </w:r>
          </w:p>
        </w:tc>
        <w:tc>
          <w:tcPr>
            <w:tcW w:type="dxa" w:w="6264"/>
            <w:vAlign w:val="center"/>
          </w:tcPr>
          <w:p>
            <w:pPr>
              <w:spacing w:after="0" w:before="0"/>
            </w:pPr>
            <w:r/>
            <w:r>
              <w:rPr>
                <w:rFonts w:ascii="Calibri" w:hAnsi="Calibri"/>
                <w:b w:val="0"/>
                <w:i w:val="0"/>
                <w:color w:val="2B2B2B"/>
                <w:sz w:val="17"/>
              </w:rPr>
              <w:t>Every count — opening float, closing, drop, and deposit — is performed and signed by two people.</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Segregation of duties</w:t>
            </w:r>
          </w:p>
        </w:tc>
        <w:tc>
          <w:tcPr>
            <w:tcW w:type="dxa" w:w="6264"/>
            <w:vAlign w:val="center"/>
          </w:tcPr>
          <w:p>
            <w:pPr>
              <w:spacing w:after="0" w:before="0"/>
            </w:pPr>
            <w:r/>
            <w:r>
              <w:rPr>
                <w:rFonts w:ascii="Calibri" w:hAnsi="Calibri"/>
                <w:b w:val="0"/>
                <w:i w:val="0"/>
                <w:color w:val="2B2B2B"/>
                <w:sz w:val="17"/>
              </w:rPr>
              <w:t>The agent who handles cash does not reconcile it to the bank; the reconciler has no vault access.</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Contemporaneous logging</w:t>
            </w:r>
          </w:p>
        </w:tc>
        <w:tc>
          <w:tcPr>
            <w:tcW w:type="dxa" w:w="6264"/>
            <w:vAlign w:val="center"/>
          </w:tcPr>
          <w:p>
            <w:pPr>
              <w:spacing w:after="0" w:before="0"/>
            </w:pPr>
            <w:r/>
            <w:r>
              <w:rPr>
                <w:rFonts w:ascii="Calibri" w:hAnsi="Calibri"/>
                <w:b w:val="0"/>
                <w:i w:val="0"/>
                <w:color w:val="2B2B2B"/>
                <w:sz w:val="17"/>
              </w:rPr>
              <w:t>All cash movements recorded on sequentially numbered forms at the time they occur.</w:t>
            </w:r>
          </w:p>
        </w:tc>
        <w:tc>
          <w:tcPr>
            <w:tcW w:type="dxa" w:w="1008"/>
            <w:vAlign w:val="center"/>
          </w:tcPr>
          <w:p>
            <w:pPr>
              <w:spacing w:after="0" w:before="0"/>
            </w:pPr>
            <w:r/>
            <w:r>
              <w:rPr>
                <w:rFonts w:ascii="Calibri" w:hAnsi="Calibri"/>
                <w:b w:val="0"/>
                <w:i w:val="0"/>
                <w:color w:val="2B2B2B"/>
                <w:sz w:val="17"/>
              </w:rPr>
              <w:t>BP</w:t>
            </w:r>
          </w:p>
        </w:tc>
      </w:tr>
      <w:tr>
        <w:tc>
          <w:tcPr>
            <w:tcW w:type="dxa" w:w="2088"/>
            <w:vAlign w:val="center"/>
          </w:tcPr>
          <w:p>
            <w:pPr>
              <w:spacing w:after="0" w:before="0"/>
            </w:pPr>
            <w:r/>
            <w:r>
              <w:rPr>
                <w:rFonts w:ascii="Calibri" w:hAnsi="Calibri"/>
                <w:b/>
                <w:i w:val="0"/>
                <w:color w:val="5A2A4D"/>
                <w:sz w:val="17"/>
              </w:rPr>
              <w:t>Float / threshold / deposit cadence</w:t>
            </w:r>
          </w:p>
        </w:tc>
        <w:tc>
          <w:tcPr>
            <w:tcW w:type="dxa" w:w="6264"/>
            <w:vAlign w:val="center"/>
          </w:tcPr>
          <w:p>
            <w:pPr>
              <w:spacing w:after="0" w:before="0"/>
            </w:pPr>
            <w:r/>
            <w:r>
              <w:rPr>
                <w:rFonts w:ascii="Calibri" w:hAnsi="Calibri"/>
                <w:b w:val="0"/>
                <w:i w:val="0"/>
                <w:color w:val="2B2B2B"/>
                <w:sz w:val="17"/>
              </w:rPr>
              <w:t>Dollar amounts and frequency are management decisions, to be set by the Company.</w:t>
            </w:r>
          </w:p>
        </w:tc>
        <w:tc>
          <w:tcPr>
            <w:tcW w:type="dxa" w:w="1008"/>
            <w:vAlign w:val="center"/>
          </w:tcPr>
          <w:p>
            <w:pPr>
              <w:spacing w:after="0" w:before="0"/>
            </w:pPr>
            <w:r/>
            <w:r>
              <w:rPr>
                <w:rFonts w:ascii="Calibri" w:hAnsi="Calibri"/>
                <w:b w:val="0"/>
                <w:i w:val="0"/>
                <w:color w:val="2B2B2B"/>
                <w:sz w:val="17"/>
              </w:rPr>
              <w:t>OP</w:t>
            </w:r>
          </w:p>
        </w:tc>
      </w:tr>
    </w:tbl>
    <w:p>
      <w:pPr>
        <w:spacing w:after="80"/>
      </w:pPr>
      <w:r>
        <w:rPr>
          <w:rFonts w:ascii="Calibri" w:hAnsi="Calibri"/>
          <w:i/>
          <w:color w:val="707070"/>
          <w:sz w:val="17"/>
        </w:rPr>
        <w:t>Applicable state regulations do not prescribe specific cash-counting mechanics; the cash procedures in this SOP are internal-control and best-practice based. Applicable state cannabis security and recordkeeping regulations govern premises security and records — the placement of the cash room, safe, and counting station should be confirmed against the Company’s final approved security plan with cannabis counsel.</w:t>
      </w:r>
    </w:p>
    <w:p>
      <w:pPr>
        <w:spacing w:before="240" w:after="100"/>
        <w:pBdr>
          <w:bottom w:val="single" w:sz="10" w:space="3" w:color="D8C7D1"/>
        </w:pBdr>
      </w:pPr>
      <w:r>
        <w:rPr>
          <w:rFonts w:ascii="Calibri" w:hAnsi="Calibri"/>
          <w:b/>
          <w:color w:val="5A2A4D"/>
          <w:sz w:val="23"/>
          <w:spacing w:val="14"/>
        </w:rPr>
        <w:t>8. Records &amp; Retention</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3384"/>
            <w:shd w:val="clear" w:color="auto" w:fill="5A2A4D"/>
          </w:tcPr>
          <w:p>
            <w:pPr>
              <w:spacing w:after="0" w:before="0"/>
            </w:pPr>
            <w:r/>
            <w:r>
              <w:rPr>
                <w:rFonts w:ascii="Calibri" w:hAnsi="Calibri"/>
                <w:b/>
                <w:i w:val="0"/>
                <w:color w:val="FFFFFF"/>
                <w:sz w:val="16"/>
              </w:rPr>
              <w:t>Record</w:t>
            </w:r>
          </w:p>
        </w:tc>
        <w:tc>
          <w:tcPr>
            <w:tcW w:type="dxa" w:w="3096"/>
            <w:shd w:val="clear" w:color="auto" w:fill="5A2A4D"/>
          </w:tcPr>
          <w:p>
            <w:pPr>
              <w:spacing w:after="0" w:before="0"/>
            </w:pPr>
            <w:r/>
            <w:r>
              <w:rPr>
                <w:rFonts w:ascii="Calibri" w:hAnsi="Calibri"/>
                <w:b/>
                <w:i w:val="0"/>
                <w:color w:val="FFFFFF"/>
                <w:sz w:val="16"/>
              </w:rPr>
              <w:t>Location (document management system)</w:t>
            </w:r>
          </w:p>
        </w:tc>
        <w:tc>
          <w:tcPr>
            <w:tcW w:type="dxa" w:w="2880"/>
            <w:shd w:val="clear" w:color="auto" w:fill="5A2A4D"/>
          </w:tcPr>
          <w:p>
            <w:pPr>
              <w:spacing w:after="0" w:before="0"/>
            </w:pPr>
            <w:r/>
            <w:r>
              <w:rPr>
                <w:rFonts w:ascii="Calibri" w:hAnsi="Calibri"/>
                <w:b/>
                <w:i w:val="0"/>
                <w:color w:val="FFFFFF"/>
                <w:sz w:val="16"/>
              </w:rPr>
              <w:t>Retention</w:t>
            </w:r>
          </w:p>
        </w:tc>
      </w:tr>
      <w:tr>
        <w:tc>
          <w:tcPr>
            <w:tcW w:type="dxa" w:w="3384"/>
            <w:vAlign w:val="center"/>
          </w:tcPr>
          <w:p>
            <w:pPr>
              <w:spacing w:after="0" w:before="0"/>
            </w:pPr>
            <w:r/>
            <w:r>
              <w:rPr>
                <w:rFonts w:ascii="Calibri" w:hAnsi="Calibri"/>
                <w:b/>
                <w:i w:val="0"/>
                <w:color w:val="5A2A4D"/>
                <w:sz w:val="17"/>
              </w:rPr>
              <w:t>Drawer Count Sheets (open / close)</w:t>
            </w:r>
          </w:p>
        </w:tc>
        <w:tc>
          <w:tcPr>
            <w:tcW w:type="dxa" w:w="3096"/>
            <w:vAlign w:val="center"/>
          </w:tcPr>
          <w:p>
            <w:pPr>
              <w:spacing w:after="0" w:before="0"/>
            </w:pPr>
            <w:r/>
            <w:r>
              <w:rPr>
                <w:rFonts w:ascii="Calibri" w:hAnsi="Calibri"/>
                <w:b w:val="0"/>
                <w:i w:val="0"/>
                <w:color w:val="2B2B2B"/>
                <w:sz w:val="17"/>
              </w:rPr>
              <w:t>07_Cash Management / 02_Cash Counts &amp; Drawer Balancing</w:t>
            </w:r>
          </w:p>
        </w:tc>
        <w:tc>
          <w:tcPr>
            <w:tcW w:type="dxa" w:w="2880"/>
            <w:vAlign w:val="center"/>
          </w:tcPr>
          <w:p>
            <w:pPr>
              <w:spacing w:after="0" w:before="0"/>
            </w:pPr>
            <w:r/>
            <w:r>
              <w:rPr>
                <w:rFonts w:ascii="Calibri" w:hAnsi="Calibri"/>
                <w:b w:val="0"/>
                <w:i w:val="0"/>
                <w:color w:val="2B2B2B"/>
                <w:sz w:val="17"/>
              </w:rPr>
              <w:t>Min. 7 years (accounting/tax); confirm state retention requirements with counsel</w:t>
            </w:r>
          </w:p>
        </w:tc>
      </w:tr>
      <w:tr>
        <w:tc>
          <w:tcPr>
            <w:tcW w:type="dxa" w:w="3384"/>
            <w:vAlign w:val="center"/>
          </w:tcPr>
          <w:p>
            <w:pPr>
              <w:spacing w:after="0" w:before="0"/>
            </w:pPr>
            <w:r/>
            <w:r>
              <w:rPr>
                <w:rFonts w:ascii="Calibri" w:hAnsi="Calibri"/>
                <w:b/>
                <w:i w:val="0"/>
                <w:color w:val="5A2A4D"/>
                <w:sz w:val="17"/>
              </w:rPr>
              <w:t>Cash Drop Slips</w:t>
            </w:r>
          </w:p>
        </w:tc>
        <w:tc>
          <w:tcPr>
            <w:tcW w:type="dxa" w:w="3096"/>
            <w:vAlign w:val="center"/>
          </w:tcPr>
          <w:p>
            <w:pPr>
              <w:spacing w:after="0" w:before="0"/>
            </w:pPr>
            <w:r/>
            <w:r>
              <w:rPr>
                <w:rFonts w:ascii="Calibri" w:hAnsi="Calibri"/>
                <w:b w:val="0"/>
                <w:i w:val="0"/>
                <w:color w:val="2B2B2B"/>
                <w:sz w:val="17"/>
              </w:rPr>
              <w:t>07_Cash Management / 02_Cash Counts &amp; Drawer Balancing</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Cash Variance Log</w:t>
            </w:r>
          </w:p>
        </w:tc>
        <w:tc>
          <w:tcPr>
            <w:tcW w:type="dxa" w:w="3096"/>
            <w:vAlign w:val="center"/>
          </w:tcPr>
          <w:p>
            <w:pPr>
              <w:spacing w:after="0" w:before="0"/>
            </w:pPr>
            <w:r/>
            <w:r>
              <w:rPr>
                <w:rFonts w:ascii="Calibri" w:hAnsi="Calibri"/>
                <w:b w:val="0"/>
                <w:i w:val="0"/>
                <w:color w:val="2B2B2B"/>
                <w:sz w:val="17"/>
              </w:rPr>
              <w:t>07_Cash Management / 04_Variance Reports &amp; Escalations</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Deposit Records &amp; bank receipts</w:t>
            </w:r>
          </w:p>
        </w:tc>
        <w:tc>
          <w:tcPr>
            <w:tcW w:type="dxa" w:w="3096"/>
            <w:vAlign w:val="center"/>
          </w:tcPr>
          <w:p>
            <w:pPr>
              <w:spacing w:after="0" w:before="0"/>
            </w:pPr>
            <w:r/>
            <w:r>
              <w:rPr>
                <w:rFonts w:ascii="Calibri" w:hAnsi="Calibri"/>
                <w:b w:val="0"/>
                <w:i w:val="0"/>
                <w:color w:val="2B2B2B"/>
                <w:sz w:val="17"/>
              </w:rPr>
              <w:t>07_Cash Management / 03_Deposit Records</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Vault / Safe Log</w:t>
            </w:r>
          </w:p>
        </w:tc>
        <w:tc>
          <w:tcPr>
            <w:tcW w:type="dxa" w:w="3096"/>
            <w:vAlign w:val="center"/>
          </w:tcPr>
          <w:p>
            <w:pPr>
              <w:spacing w:after="0" w:before="0"/>
            </w:pPr>
            <w:r/>
            <w:r>
              <w:rPr>
                <w:rFonts w:ascii="Calibri" w:hAnsi="Calibri"/>
                <w:b w:val="0"/>
                <w:i w:val="0"/>
                <w:color w:val="2B2B2B"/>
                <w:sz w:val="17"/>
              </w:rPr>
              <w:t>07_Cash Management / 06_Vault &amp; Safe Logs</w:t>
            </w:r>
          </w:p>
        </w:tc>
        <w:tc>
          <w:tcPr>
            <w:tcW w:type="dxa" w:w="2880"/>
            <w:vAlign w:val="center"/>
          </w:tcPr>
          <w:p>
            <w:pPr>
              <w:spacing w:after="0" w:before="0"/>
            </w:pPr>
            <w:r/>
            <w:r>
              <w:rPr>
                <w:rFonts w:ascii="Calibri" w:hAnsi="Calibri"/>
                <w:b w:val="0"/>
                <w:i w:val="0"/>
                <w:color w:val="2B2B2B"/>
                <w:sz w:val="17"/>
              </w:rPr>
              <w:t>Min. 7 years; confirm with counsel</w:t>
            </w:r>
          </w:p>
        </w:tc>
      </w:tr>
    </w:tbl>
    <w:p>
      <w:pPr>
        <w:spacing w:before="240" w:after="100"/>
        <w:pBdr>
          <w:bottom w:val="single" w:sz="10" w:space="3" w:color="D8C7D1"/>
        </w:pBdr>
      </w:pPr>
      <w:r>
        <w:rPr>
          <w:rFonts w:ascii="Calibri" w:hAnsi="Calibri"/>
          <w:b/>
          <w:color w:val="5A2A4D"/>
          <w:sz w:val="23"/>
          <w:spacing w:val="14"/>
        </w:rPr>
        <w:t>9. Exceptions &amp; Escalation</w:t>
      </w:r>
    </w:p>
    <w:p>
      <w:pPr>
        <w:pStyle w:val="ListBullet"/>
        <w:spacing w:after="80"/>
      </w:pPr>
      <w:r>
        <w:rPr>
          <w:rFonts w:ascii="Calibri" w:hAnsi="Calibri"/>
          <w:b w:val="0"/>
          <w:color w:val="2B2B2B"/>
          <w:sz w:val="19"/>
        </w:rPr>
        <w:t>Cash over or short beyond the established tolerance is investigated by the Manager on Duty the same business day; the cause and resolution are recorded on the Cash Variance Log.</w:t>
      </w:r>
    </w:p>
    <w:p>
      <w:pPr>
        <w:pStyle w:val="ListBullet"/>
        <w:spacing w:after="80"/>
      </w:pPr>
      <w:r>
        <w:rPr>
          <w:rFonts w:ascii="Calibri" w:hAnsi="Calibri"/>
          <w:b w:val="0"/>
          <w:color w:val="2B2B2B"/>
          <w:sz w:val="19"/>
        </w:rPr>
        <w:t>Recurring variances tied to the same agent or drawer are escalated to Controller and Owner for review.</w:t>
      </w:r>
    </w:p>
    <w:p>
      <w:pPr>
        <w:pStyle w:val="ListBullet"/>
        <w:spacing w:after="80"/>
      </w:pPr>
      <w:r>
        <w:rPr>
          <w:rFonts w:ascii="Calibri" w:hAnsi="Calibri"/>
          <w:b w:val="0"/>
          <w:color w:val="2B2B2B"/>
          <w:sz w:val="19"/>
        </w:rPr>
        <w:t>Any suspected theft or diversion: secure the area, preserve the relevant video, and notify Owner and Controller immediately. Per current state regulator guidance, evidence of theft or diversion must be reported to state cannabis regulator within one business day — confirm the current reporting procedure with cannabis counsel.</w:t>
      </w:r>
    </w:p>
    <w:p>
      <w:pPr>
        <w:pStyle w:val="ListBullet"/>
        <w:spacing w:after="80"/>
      </w:pPr>
      <w:r>
        <w:rPr>
          <w:rFonts w:ascii="Calibri" w:hAnsi="Calibri"/>
          <w:b w:val="0"/>
          <w:color w:val="2B2B2B"/>
          <w:sz w:val="19"/>
        </w:rPr>
        <w:t>A deposit that cannot be reconciled to drawer and drop records is escalated to Accounting and Controller before the next banking day.</w:t>
      </w:r>
    </w:p>
    <w:p>
      <w:pPr>
        <w:spacing w:before="240" w:after="100"/>
        <w:pBdr>
          <w:bottom w:val="single" w:sz="10" w:space="3" w:color="D8C7D1"/>
        </w:pBdr>
      </w:pPr>
      <w:r>
        <w:rPr>
          <w:rFonts w:ascii="Calibri" w:hAnsi="Calibri"/>
          <w:b/>
          <w:color w:val="5A2A4D"/>
          <w:sz w:val="23"/>
          <w:spacing w:val="14"/>
        </w:rPr>
        <w:t>10. Revision History</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440"/>
            <w:shd w:val="clear" w:color="auto" w:fill="5A2A4D"/>
          </w:tcPr>
          <w:p>
            <w:pPr>
              <w:spacing w:after="0" w:before="0"/>
            </w:pPr>
            <w:r/>
            <w:r>
              <w:rPr>
                <w:rFonts w:ascii="Calibri" w:hAnsi="Calibri"/>
                <w:b/>
                <w:i w:val="0"/>
                <w:color w:val="FFFFFF"/>
                <w:sz w:val="16"/>
              </w:rPr>
              <w:t>Version</w:t>
            </w:r>
          </w:p>
        </w:tc>
        <w:tc>
          <w:tcPr>
            <w:tcW w:type="dxa" w:w="1656"/>
            <w:shd w:val="clear" w:color="auto" w:fill="5A2A4D"/>
          </w:tcPr>
          <w:p>
            <w:pPr>
              <w:spacing w:after="0" w:before="0"/>
            </w:pPr>
            <w:r/>
            <w:r>
              <w:rPr>
                <w:rFonts w:ascii="Calibri" w:hAnsi="Calibri"/>
                <w:b/>
                <w:i w:val="0"/>
                <w:color w:val="FFFFFF"/>
                <w:sz w:val="16"/>
              </w:rPr>
              <w:t>Date</w:t>
            </w:r>
          </w:p>
        </w:tc>
        <w:tc>
          <w:tcPr>
            <w:tcW w:type="dxa" w:w="2376"/>
            <w:shd w:val="clear" w:color="auto" w:fill="5A2A4D"/>
          </w:tcPr>
          <w:p>
            <w:pPr>
              <w:spacing w:after="0" w:before="0"/>
            </w:pPr>
            <w:r/>
            <w:r>
              <w:rPr>
                <w:rFonts w:ascii="Calibri" w:hAnsi="Calibri"/>
                <w:b/>
                <w:i w:val="0"/>
                <w:color w:val="FFFFFF"/>
                <w:sz w:val="16"/>
              </w:rPr>
              <w:t>Author</w:t>
            </w:r>
          </w:p>
        </w:tc>
        <w:tc>
          <w:tcPr>
            <w:tcW w:type="dxa" w:w="3888"/>
            <w:shd w:val="clear" w:color="auto" w:fill="5A2A4D"/>
          </w:tcPr>
          <w:p>
            <w:pPr>
              <w:spacing w:after="0" w:before="0"/>
            </w:pPr>
            <w:r/>
            <w:r>
              <w:rPr>
                <w:rFonts w:ascii="Calibri" w:hAnsi="Calibri"/>
                <w:b/>
                <w:i w:val="0"/>
                <w:color w:val="FFFFFF"/>
                <w:sz w:val="16"/>
              </w:rPr>
              <w:t>Change</w:t>
            </w:r>
          </w:p>
        </w:tc>
      </w:tr>
      <w:tr>
        <w:tc>
          <w:tcPr>
            <w:tcW w:type="dxa" w:w="1440"/>
            <w:vAlign w:val="center"/>
          </w:tcPr>
          <w:p>
            <w:pPr>
              <w:spacing w:after="0" w:before="0"/>
            </w:pPr>
            <w:r/>
            <w:r>
              <w:rPr>
                <w:rFonts w:ascii="Calibri" w:hAnsi="Calibri"/>
                <w:b/>
                <w:i w:val="0"/>
                <w:color w:val="5A2A4D"/>
                <w:sz w:val="17"/>
              </w:rPr>
              <w:t>Sample v1.0</w:t>
            </w:r>
          </w:p>
        </w:tc>
        <w:tc>
          <w:tcPr>
            <w:tcW w:type="dxa" w:w="1656"/>
            <w:vAlign w:val="center"/>
          </w:tcPr>
          <w:p>
            <w:pPr>
              <w:spacing w:after="0" w:before="0"/>
            </w:pPr>
            <w:r/>
            <w:r>
              <w:rPr>
                <w:rFonts w:ascii="Calibri" w:hAnsi="Calibri"/>
                <w:b w:val="0"/>
                <w:i w:val="0"/>
                <w:color w:val="2B2B2B"/>
                <w:sz w:val="17"/>
              </w:rPr>
              <w:t>2026-05-21</w:t>
            </w:r>
          </w:p>
        </w:tc>
        <w:tc>
          <w:tcPr>
            <w:tcW w:type="dxa" w:w="2376"/>
            <w:vAlign w:val="center"/>
          </w:tcPr>
          <w:p>
            <w:pPr>
              <w:spacing w:after="0" w:before="0"/>
            </w:pPr>
            <w:r/>
            <w:r>
              <w:rPr>
                <w:rFonts w:ascii="Calibri" w:hAnsi="Calibri"/>
                <w:b w:val="0"/>
                <w:i w:val="0"/>
                <w:color w:val="2B2B2B"/>
                <w:sz w:val="17"/>
              </w:rPr>
              <w:t>Controller</w:t>
            </w:r>
          </w:p>
        </w:tc>
        <w:tc>
          <w:tcPr>
            <w:tcW w:type="dxa" w:w="3888"/>
            <w:vAlign w:val="center"/>
          </w:tcPr>
          <w:p>
            <w:pPr>
              <w:spacing w:after="0" w:before="0"/>
            </w:pPr>
            <w:r/>
            <w:r>
              <w:rPr>
                <w:rFonts w:ascii="Calibri" w:hAnsi="Calibri"/>
                <w:b w:val="0"/>
                <w:i w:val="0"/>
                <w:color w:val="2B2B2B"/>
                <w:sz w:val="17"/>
              </w:rPr>
              <w:t>Training example for the Financial Foundations cohort.</w:t>
            </w:r>
          </w:p>
        </w:tc>
      </w:tr>
    </w:tbl>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Petty Cash &amp; Change Fund</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02 — Petty Cash &amp; Change Fund</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Operations Manager (custody) / Accounting (reconciliation)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funds, controls, replenishes, and reconciles small-dollar cash needs — petty cash for incidental operating expenses, and the change fund used to maintain register float and provide customer change. The objective is to prevent informal cash use and ensure every dollar is on a documented chain of custody.</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the petty-cash fund (if established), the change fund held in the vault to replenish register floats, and any small cash imprest used for sample receipts or in-store needs. It complements SOP 01 (Cash Handling) and SOP 08 (Expense Reimbursement &amp; Corporate Card).</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Petty Cash Fund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small, imprest-based cash fund used for incidental operating expenses where vendor invoicing or card payment is impractical.</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Change Fund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Cash held in the vault, segregated from sales receipts, that is used to replenish register drawer floats and provide customer change.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Imprest System</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fixed-balance model: the fund is established at a set dollar amount and is replenished only by the total of approved expenses, so the fund balance plus receipts always equals the original fixed amount.</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Custodian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named individual responsible for the fund's physical custody and the log of disbursements.</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Petty Cash / Change Fund Custodian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Holds the fund under sole physical custody; logs every disbursement and replenishment; produces fund for count on demand.</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Manager on Duty</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petty-cash disbursements within authority; co-counts the fund during scheduled audits.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replenishment requests; posts replenishments and change-fund movement to QuickBooks Online; performs surprise audits.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Performs independent periodic audit and reviews recurring petty-cash patterns for control deficiencies.</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Fund Establishment</w:t>
      </w:r>
    </w:p>
    <w:p>
      <w:pPr>
        <w:pStyle w:val="ListBullet"/>
        <w:spacing w:before="20" w:after="40"/>
      </w:pPr>
      <w:r>
        <w:rPr>
          <w:rFonts w:ascii="Calibri" w:hAnsi="Calibri"/>
          <w:b w:val="0"/>
          <w:color w:val="2B2B2B"/>
          <w:sz w:val="19"/>
        </w:rPr>
        <w:t>A petty-cash fund is established at a fixed dollar amount with Owner approval; the change fund is established at a level sized to maintain register floats over the largest cash-sales day expected.</w:t>
      </w:r>
    </w:p>
    <w:p>
      <w:pPr>
        <w:pStyle w:val="ListBullet"/>
        <w:spacing w:before="20" w:after="40"/>
      </w:pPr>
      <w:r>
        <w:rPr>
          <w:rFonts w:ascii="Calibri" w:hAnsi="Calibri"/>
          <w:b w:val="0"/>
          <w:color w:val="2B2B2B"/>
          <w:sz w:val="19"/>
        </w:rPr>
        <w:t>A single Custodian is named for each fund; the Custodian's name, the fund amount, and the fund location are documented and filed in document management system.</w:t>
      </w:r>
    </w:p>
    <w:p>
      <w:pPr>
        <w:pStyle w:val="ListBullet"/>
        <w:spacing w:before="20" w:after="40"/>
      </w:pPr>
      <w:r>
        <w:rPr>
          <w:rFonts w:ascii="Calibri" w:hAnsi="Calibri"/>
          <w:b w:val="0"/>
          <w:color w:val="2B2B2B"/>
          <w:sz w:val="19"/>
        </w:rPr>
        <w:t>The fund is held in a locked compartment within the vault, with access limited to the Custodian and one backup.</w:t>
      </w:r>
    </w:p>
    <w:p>
      <w:pPr>
        <w:spacing w:before="120" w:after="60"/>
      </w:pPr>
      <w:r>
        <w:rPr>
          <w:rFonts w:ascii="Calibri" w:hAnsi="Calibri"/>
          <w:b/>
          <w:color w:val="5A2A4D"/>
          <w:sz w:val="20"/>
        </w:rPr>
        <w:t>B. Disbursement</w:t>
      </w:r>
    </w:p>
    <w:p>
      <w:pPr>
        <w:pStyle w:val="ListBullet"/>
        <w:spacing w:before="20" w:after="40"/>
      </w:pPr>
      <w:r>
        <w:rPr>
          <w:rFonts w:ascii="Calibri" w:hAnsi="Calibri"/>
          <w:b w:val="0"/>
          <w:color w:val="2B2B2B"/>
          <w:sz w:val="19"/>
        </w:rPr>
        <w:t>Every petty-cash disbursement requires a pre-approval voucher signed by the Manager on Duty, with the business purpose, amount, and account coding.</w:t>
      </w:r>
    </w:p>
    <w:p>
      <w:pPr>
        <w:pStyle w:val="ListBullet"/>
        <w:spacing w:before="20" w:after="40"/>
      </w:pPr>
      <w:r>
        <w:rPr>
          <w:rFonts w:ascii="Calibri" w:hAnsi="Calibri"/>
          <w:b w:val="0"/>
          <w:color w:val="2B2B2B"/>
          <w:sz w:val="19"/>
        </w:rPr>
        <w:t>The Custodian disburses the cash and obtains a signed receipt or vendor voucher; both the voucher and the receipt are filed in the Petty Cash Log.</w:t>
      </w:r>
    </w:p>
    <w:p>
      <w:pPr>
        <w:pStyle w:val="ListBullet"/>
        <w:spacing w:before="20" w:after="40"/>
      </w:pPr>
      <w:r>
        <w:rPr>
          <w:rFonts w:ascii="Calibri" w:hAnsi="Calibri"/>
          <w:b w:val="0"/>
          <w:color w:val="2B2B2B"/>
          <w:sz w:val="19"/>
        </w:rPr>
        <w:t>No personal loans, no cash advances to employees, and no recurring vendor payments are made from petty cash — vendors are paid through AP (SOP 05).</w:t>
      </w:r>
    </w:p>
    <w:p>
      <w:pPr>
        <w:pStyle w:val="ListBullet"/>
        <w:spacing w:before="20" w:after="40"/>
      </w:pPr>
      <w:r>
        <w:rPr>
          <w:rFonts w:ascii="Calibri" w:hAnsi="Calibri"/>
          <w:b w:val="0"/>
          <w:color w:val="2B2B2B"/>
          <w:sz w:val="19"/>
        </w:rPr>
        <w:t>Change-fund movement to and from register drawers occurs only under SOP 01 dual-control procedures.</w:t>
      </w:r>
    </w:p>
    <w:p>
      <w:pPr>
        <w:spacing w:before="120" w:after="60"/>
      </w:pPr>
      <w:r>
        <w:rPr>
          <w:rFonts w:ascii="Calibri" w:hAnsi="Calibri"/>
          <w:b/>
          <w:color w:val="5A2A4D"/>
          <w:sz w:val="20"/>
        </w:rPr>
        <w:t>C. Replenishment</w:t>
      </w:r>
    </w:p>
    <w:p>
      <w:pPr>
        <w:pStyle w:val="ListBullet"/>
        <w:spacing w:before="20" w:after="40"/>
      </w:pPr>
      <w:r>
        <w:rPr>
          <w:rFonts w:ascii="Calibri" w:hAnsi="Calibri"/>
          <w:b w:val="0"/>
          <w:color w:val="2B2B2B"/>
          <w:sz w:val="19"/>
        </w:rPr>
        <w:t>The fund is replenished when balance reaches a defined threshold or at month-end, whichever is earlier; replenishment is the sum of approved vouchers and brings the fund back to the fixed imprest balance.</w:t>
      </w:r>
    </w:p>
    <w:p>
      <w:pPr>
        <w:pStyle w:val="ListBullet"/>
        <w:spacing w:before="20" w:after="40"/>
      </w:pPr>
      <w:r>
        <w:rPr>
          <w:rFonts w:ascii="Calibri" w:hAnsi="Calibri"/>
          <w:b w:val="0"/>
          <w:color w:val="2B2B2B"/>
          <w:sz w:val="19"/>
        </w:rPr>
        <w:t>The Custodian submits the vouchers and receipts to Accounting; Accounting reviews for completeness, posts each expense to the correct GL account, and issues replenishment from the operating account.</w:t>
      </w:r>
    </w:p>
    <w:p>
      <w:pPr>
        <w:pStyle w:val="ListBullet"/>
        <w:spacing w:before="20" w:after="40"/>
      </w:pPr>
      <w:r>
        <w:rPr>
          <w:rFonts w:ascii="Calibri" w:hAnsi="Calibri"/>
          <w:b w:val="0"/>
          <w:color w:val="2B2B2B"/>
          <w:sz w:val="19"/>
        </w:rPr>
        <w:t>Replenishment is approved by Owner or an authorized signer.</w:t>
      </w:r>
    </w:p>
    <w:p>
      <w:pPr>
        <w:spacing w:before="120" w:after="60"/>
      </w:pPr>
      <w:r>
        <w:rPr>
          <w:rFonts w:ascii="Calibri" w:hAnsi="Calibri"/>
          <w:b/>
          <w:color w:val="5A2A4D"/>
          <w:sz w:val="20"/>
        </w:rPr>
        <w:t>D. Counts &amp; Audits</w:t>
      </w:r>
    </w:p>
    <w:p>
      <w:pPr>
        <w:pStyle w:val="ListBullet"/>
        <w:spacing w:before="20" w:after="40"/>
      </w:pPr>
      <w:r>
        <w:rPr>
          <w:rFonts w:ascii="Calibri" w:hAnsi="Calibri"/>
          <w:b w:val="0"/>
          <w:color w:val="2B2B2B"/>
          <w:sz w:val="19"/>
        </w:rPr>
        <w:t>The Custodian counts the fund weekly and signs the Petty Cash Log.</w:t>
      </w:r>
    </w:p>
    <w:p>
      <w:pPr>
        <w:pStyle w:val="ListBullet"/>
        <w:spacing w:before="20" w:after="40"/>
      </w:pPr>
      <w:r>
        <w:rPr>
          <w:rFonts w:ascii="Calibri" w:hAnsi="Calibri"/>
          <w:b w:val="0"/>
          <w:color w:val="2B2B2B"/>
          <w:sz w:val="19"/>
        </w:rPr>
        <w:t>Accounting performs a surprise count at least monthly; Controller performs an independent count at least quarterly. All counts are signed and dated.</w:t>
      </w:r>
    </w:p>
    <w:p>
      <w:pPr>
        <w:pStyle w:val="ListBullet"/>
        <w:spacing w:before="20" w:after="40"/>
      </w:pPr>
      <w:r>
        <w:rPr>
          <w:rFonts w:ascii="Calibri" w:hAnsi="Calibri"/>
          <w:b w:val="0"/>
          <w:color w:val="2B2B2B"/>
          <w:sz w:val="19"/>
        </w:rPr>
        <w:t>Fund balance plus vouchers must equal the fixed imprest amount; any variance is investigated the same business day.</w:t>
      </w:r>
    </w:p>
    <w:p>
      <w:pPr>
        <w:spacing w:before="120" w:after="80"/>
      </w:pPr>
      <w:r>
        <w:rPr>
          <w:rFonts w:ascii="Calibri" w:hAnsi="Calibri"/>
          <w:b w:val="0"/>
          <w:color w:val="707070"/>
          <w:sz w:val="17"/>
        </w:rPr>
        <w:t>Fund amounts, the disbursement-approval threshold, and the replenishment trigger are management decisions. Controller recommends the petty-cash fund be set as low as operations allow — many dispensaries operate without a standing petty cash fund at all and route incidentals through SOP 08 (corporate card).</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Imprest accountability: the fund balance plus vouchers always equals the fixed imprest amount; this makes variance immediately visible.</w:t>
      </w:r>
    </w:p>
    <w:p>
      <w:pPr>
        <w:pStyle w:val="ListBullet"/>
        <w:spacing w:before="20" w:after="40"/>
      </w:pPr>
      <w:r>
        <w:rPr>
          <w:rFonts w:ascii="Calibri" w:hAnsi="Calibri"/>
          <w:b w:val="0"/>
          <w:color w:val="2B2B2B"/>
          <w:sz w:val="19"/>
        </w:rPr>
        <w:t>Single-Custodian custody with one named backup; no shared custody of a single fund.</w:t>
      </w:r>
    </w:p>
    <w:p>
      <w:pPr>
        <w:pStyle w:val="ListBullet"/>
        <w:spacing w:before="20" w:after="40"/>
      </w:pPr>
      <w:r>
        <w:rPr>
          <w:rFonts w:ascii="Calibri" w:hAnsi="Calibri"/>
          <w:b w:val="0"/>
          <w:color w:val="2B2B2B"/>
          <w:sz w:val="19"/>
        </w:rPr>
        <w:t>Pre-approval voucher required before every disbursement; no after-the-fact reimbursement from petty cash.</w:t>
      </w:r>
    </w:p>
    <w:p>
      <w:pPr>
        <w:pStyle w:val="ListBullet"/>
        <w:spacing w:before="20" w:after="40"/>
      </w:pPr>
      <w:r>
        <w:rPr>
          <w:rFonts w:ascii="Calibri" w:hAnsi="Calibri"/>
          <w:b w:val="0"/>
          <w:color w:val="2B2B2B"/>
          <w:sz w:val="19"/>
        </w:rPr>
        <w:t>Receipts required for every voucher; missing-receipt disbursements are escalated.</w:t>
      </w:r>
    </w:p>
    <w:p>
      <w:pPr>
        <w:pStyle w:val="ListBullet"/>
        <w:spacing w:before="20" w:after="40"/>
      </w:pPr>
      <w:r>
        <w:rPr>
          <w:rFonts w:ascii="Calibri" w:hAnsi="Calibri"/>
          <w:b w:val="0"/>
          <w:color w:val="2B2B2B"/>
          <w:sz w:val="19"/>
        </w:rPr>
        <w:t>Surprise audits at least monthly by Accounting and at least quarterly by Controller.</w:t>
      </w:r>
    </w:p>
    <w:p>
      <w:pPr>
        <w:pStyle w:val="ListBullet"/>
        <w:spacing w:before="20" w:after="40"/>
      </w:pPr>
      <w:r>
        <w:rPr>
          <w:rFonts w:ascii="Calibri" w:hAnsi="Calibri"/>
          <w:b w:val="0"/>
          <w:color w:val="2B2B2B"/>
          <w:sz w:val="19"/>
        </w:rPr>
        <w:t>Change-fund movement occurs only under SOP 01 dual-control procedures.</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Applicable state cannabis regulations, Subtitle 17 does not prescribe a petty-cash protocol; this SOP is internal-control and best-practice based. The change fund operates within the secure premises and is therefore subject to applicable state regulations security requirements — confirm with cannabis counsel.</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cannabis regulations (security of premises)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Cash held within the business footprint, including the change fund, must reside within the alarmed and video-monitored secure area.</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Imprest fund accountability</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Fixed-balance fund plus vouchers must always equal the established imprest amount.</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Single Custodian responsibility</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Physical custody and log responsibility vest in one named individual.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Pre-approval voucher requirement</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Disbursement only against a signed voucher with documented business purpose.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Surprise audits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Unannounced counts deter and detect informal cash use.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No employee loans or recurring vendor payments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Confines the fund to true incidentals and reduces 280E classification risk.</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Documentation retention with monthly close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Vouchers and receipts are part of the close package for that month.</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Petty Cash Log (vouchers, receipts, replenishments)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07_Cash Management / 03_Petty Cash &amp; Change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 confirm state retention requirements with counsel</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Weekly count signatures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07_Cash Management / 03_Petty Cash &amp; Change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 quarterly audit reports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07_Cash Management / 03_Petty Cash &amp; Change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Change-fund movement records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07_Cash Management / 02_Cash Counts &amp; Drops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Fund out of balance by any amount: investigated the same business day by the Manager on Duty; the cause, the resolution, and the fund recount are documented on the Petty Cash Log.</w:t>
      </w:r>
    </w:p>
    <w:p>
      <w:pPr>
        <w:pStyle w:val="ListBullet"/>
        <w:spacing w:before="20" w:after="40"/>
      </w:pPr>
      <w:r>
        <w:rPr>
          <w:rFonts w:ascii="Calibri" w:hAnsi="Calibri"/>
          <w:b w:val="0"/>
          <w:color w:val="2B2B2B"/>
          <w:sz w:val="19"/>
        </w:rPr>
        <w:t>Missing receipt for a voucher: escalated to Accounting and the Manager on Duty; the Custodian or approver provides a signed memo explaining the gap before replenishment is processed.</w:t>
      </w:r>
    </w:p>
    <w:p>
      <w:pPr>
        <w:pStyle w:val="ListBullet"/>
        <w:spacing w:before="20" w:after="40"/>
      </w:pPr>
      <w:r>
        <w:rPr>
          <w:rFonts w:ascii="Calibri" w:hAnsi="Calibri"/>
          <w:b w:val="0"/>
          <w:color w:val="2B2B2B"/>
          <w:sz w:val="19"/>
        </w:rPr>
        <w:t>Pattern variances tied to the same Custodian or the same approver are escalated to Controller and Owner for a controls review.</w:t>
      </w:r>
    </w:p>
    <w:p>
      <w:pPr>
        <w:pStyle w:val="ListBullet"/>
        <w:spacing w:before="20" w:after="40"/>
      </w:pPr>
      <w:r>
        <w:rPr>
          <w:rFonts w:ascii="Calibri" w:hAnsi="Calibri"/>
          <w:b w:val="0"/>
          <w:color w:val="2B2B2B"/>
          <w:sz w:val="19"/>
        </w:rPr>
        <w:t>Any suspected misappropriation: secure the fund and the log, preserve relevant video, and notify Owner and Controller immediately. Theft or diversion may trigger state cannabis regulator notification per SOP 11.</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40"/>
      </w:pPr>
      <w:r>
        <w:rPr>
          <w:rFonts w:ascii="Calibri" w:hAnsi="Calibri"/>
          <w:b/>
          <w:color w:val="707070"/>
          <w:sz w:val="16"/>
          <w:spacing w:val="30"/>
        </w:rPr>
        <w:t>FINANCIAL FOUNDATIONS · STANDARD OPERATING PROCEDURE EXAMPLE — FOR TRAINING USE</w:t>
      </w:r>
    </w:p>
    <w:p>
      <w:pPr>
        <w:spacing w:after="20"/>
      </w:pPr>
      <w:r>
        <w:rPr>
          <w:rFonts w:ascii="Calibri" w:hAnsi="Calibri"/>
          <w:b/>
          <w:color w:val="5A2A4D"/>
          <w:sz w:val="48"/>
        </w:rPr>
        <w:t>Daily Sales Reconciliation</w:t>
      </w:r>
    </w:p>
    <w:p>
      <w:pPr>
        <w:spacing w:after="120"/>
        <w:pBdr>
          <w:bottom w:val="single" w:sz="10" w:space="3" w:color="D8C7D1"/>
        </w:pBdr>
      </w:pPr>
      <w:r>
        <w:rPr>
          <w:rFonts w:ascii="Calibri" w:hAnsi="Calibri"/>
          <w:color w:val="2B2B2B"/>
          <w:sz w:val="24"/>
        </w:rPr>
        <w:t>Priority-1 Standard Operating Procedure · the Company</w:t>
      </w:r>
    </w:p>
    <w:p>
      <w:pPr>
        <w:spacing w:after="180"/>
      </w:pPr>
      <w:r>
        <w:rPr>
          <w:rFonts w:ascii="Calibri" w:hAnsi="Calibri"/>
          <w:i/>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800"/>
            <w:shd w:val="clear" w:color="auto" w:fill="EFE3EA"/>
          </w:tcPr>
          <w:p>
            <w:pPr>
              <w:spacing w:after="0" w:before="0"/>
            </w:pPr>
            <w:r/>
            <w:r>
              <w:rPr>
                <w:rFonts w:ascii="Calibri" w:hAnsi="Calibri"/>
                <w:b/>
                <w:i w:val="0"/>
                <w:color w:val="5A2A4D"/>
                <w:sz w:val="18"/>
              </w:rPr>
              <w:t>SOP ID</w:t>
            </w:r>
          </w:p>
        </w:tc>
        <w:tc>
          <w:tcPr>
            <w:tcW w:type="dxa" w:w="2880"/>
          </w:tcPr>
          <w:p>
            <w:pPr>
              <w:spacing w:after="0" w:before="0"/>
            </w:pPr>
            <w:r>
              <w:t xml:space="preserve">SOP </w:t>
            </w:r>
            <w:r>
              <w:rPr>
                <w:rFonts w:ascii="Calibri" w:hAnsi="Calibri"/>
                <w:b w:val="0"/>
                <w:i w:val="0"/>
                <w:color w:val="2B2B2B"/>
                <w:sz w:val="18"/>
              </w:rPr>
              <w:t>03 — Daily Sales Reconciliation</w:t>
            </w:r>
          </w:p>
        </w:tc>
        <w:tc>
          <w:tcPr>
            <w:tcW w:type="dxa" w:w="1800"/>
            <w:shd w:val="clear" w:color="auto" w:fill="EFE3EA"/>
          </w:tcPr>
          <w:p>
            <w:pPr>
              <w:spacing w:after="0" w:before="0"/>
            </w:pPr>
            <w:r/>
            <w:r>
              <w:rPr>
                <w:rFonts w:ascii="Calibri" w:hAnsi="Calibri"/>
                <w:b/>
                <w:i w:val="0"/>
                <w:color w:val="5A2A4D"/>
                <w:sz w:val="18"/>
              </w:rPr>
              <w:t>Version</w:t>
            </w:r>
          </w:p>
        </w:tc>
        <w:tc>
          <w:tcPr>
            <w:tcW w:type="dxa" w:w="2880"/>
          </w:tcPr>
          <w:p>
            <w:pPr>
              <w:spacing w:after="0" w:before="0"/>
            </w:pPr>
            <w:r/>
            <w:r>
              <w:rPr>
                <w:rFonts w:ascii="Calibri" w:hAnsi="Calibri"/>
                <w:b w:val="0"/>
                <w:i w:val="0"/>
                <w:color w:val="2B2B2B"/>
                <w:sz w:val="18"/>
              </w:rPr>
              <w:t>Sample v1.0</w:t>
            </w:r>
          </w:p>
        </w:tc>
      </w:tr>
      <w:tr>
        <w:tc>
          <w:tcPr>
            <w:tcW w:type="dxa" w:w="1800"/>
            <w:shd w:val="clear" w:color="auto" w:fill="EFE3EA"/>
          </w:tcPr>
          <w:p>
            <w:pPr>
              <w:spacing w:after="0" w:before="0"/>
            </w:pPr>
            <w:r/>
            <w:r>
              <w:rPr>
                <w:rFonts w:ascii="Calibri" w:hAnsi="Calibri"/>
                <w:b/>
                <w:i w:val="0"/>
                <w:color w:val="5A2A4D"/>
                <w:sz w:val="18"/>
              </w:rPr>
              <w:t>Process Owner</w:t>
            </w:r>
          </w:p>
        </w:tc>
        <w:tc>
          <w:tcPr>
            <w:tcW w:type="dxa" w:w="2880"/>
          </w:tcPr>
          <w:p>
            <w:pPr>
              <w:spacing w:after="0" w:before="0"/>
            </w:pPr>
            <w:r/>
            <w:r>
              <w:rPr>
                <w:rFonts w:ascii="Calibri" w:hAnsi="Calibri"/>
                <w:b w:val="0"/>
                <w:i w:val="0"/>
                <w:color w:val="2B2B2B"/>
                <w:sz w:val="18"/>
              </w:rPr>
              <w:t>Accounting (Bookkeeper / In-House Lead)</w:t>
            </w:r>
          </w:p>
        </w:tc>
        <w:tc>
          <w:tcPr>
            <w:tcW w:type="dxa" w:w="1800"/>
            <w:shd w:val="clear" w:color="auto" w:fill="EFE3EA"/>
          </w:tcPr>
          <w:p>
            <w:pPr>
              <w:spacing w:after="0" w:before="0"/>
            </w:pPr>
            <w:r/>
            <w:r>
              <w:rPr>
                <w:rFonts w:ascii="Calibri" w:hAnsi="Calibri"/>
                <w:b/>
                <w:i w:val="0"/>
                <w:color w:val="5A2A4D"/>
                <w:sz w:val="18"/>
              </w:rPr>
              <w:t>Effective Date</w:t>
            </w:r>
          </w:p>
        </w:tc>
        <w:tc>
          <w:tcPr>
            <w:tcW w:type="dxa" w:w="2880"/>
          </w:tcPr>
          <w:p>
            <w:pPr>
              <w:spacing w:after="0" w:before="0"/>
            </w:pPr>
            <w:r/>
            <w:r>
              <w:rPr>
                <w:rFonts w:ascii="Calibri" w:hAnsi="Calibri"/>
                <w:b w:val="0"/>
                <w:i w:val="0"/>
                <w:color w:val="2B2B2B"/>
                <w:sz w:val="18"/>
              </w:rPr>
              <w:t>Sample — training use</w:t>
            </w:r>
          </w:p>
        </w:tc>
      </w:tr>
      <w:tr>
        <w:tc>
          <w:tcPr>
            <w:tcW w:type="dxa" w:w="1800"/>
            <w:shd w:val="clear" w:color="auto" w:fill="EFE3EA"/>
          </w:tcPr>
          <w:p>
            <w:pPr>
              <w:spacing w:after="0" w:before="0"/>
            </w:pPr>
            <w:r/>
            <w:r>
              <w:rPr>
                <w:rFonts w:ascii="Calibri" w:hAnsi="Calibri"/>
                <w:b/>
                <w:i w:val="0"/>
                <w:color w:val="5A2A4D"/>
                <w:sz w:val="18"/>
              </w:rPr>
              <w:t>Prepared By</w:t>
            </w:r>
          </w:p>
        </w:tc>
        <w:tc>
          <w:tcPr>
            <w:tcW w:type="dxa" w:w="2880"/>
          </w:tcPr>
          <w:p>
            <w:pPr>
              <w:spacing w:after="0" w:before="0"/>
            </w:pPr>
            <w:r/>
            <w:r>
              <w:rPr>
                <w:rFonts w:ascii="Calibri" w:hAnsi="Calibri"/>
                <w:b w:val="0"/>
                <w:i w:val="0"/>
                <w:color w:val="2B2B2B"/>
                <w:sz w:val="18"/>
              </w:rPr>
              <w:t>Controller</w:t>
            </w:r>
          </w:p>
        </w:tc>
        <w:tc>
          <w:tcPr>
            <w:tcW w:type="dxa" w:w="1800"/>
            <w:shd w:val="clear" w:color="auto" w:fill="EFE3EA"/>
          </w:tcPr>
          <w:p>
            <w:pPr>
              <w:spacing w:after="0" w:before="0"/>
            </w:pPr>
            <w:r/>
            <w:r>
              <w:rPr>
                <w:rFonts w:ascii="Calibri" w:hAnsi="Calibri"/>
                <w:b/>
                <w:i w:val="0"/>
                <w:color w:val="5A2A4D"/>
                <w:sz w:val="18"/>
              </w:rPr>
              <w:t>Review Cadence</w:t>
            </w:r>
          </w:p>
        </w:tc>
        <w:tc>
          <w:tcPr>
            <w:tcW w:type="dxa" w:w="2880"/>
          </w:tcPr>
          <w:p>
            <w:pPr>
              <w:spacing w:after="0" w:before="0"/>
            </w:pPr>
            <w:r/>
            <w:r>
              <w:rPr>
                <w:rFonts w:ascii="Calibri" w:hAnsi="Calibri"/>
                <w:b w:val="0"/>
                <w:i w:val="0"/>
                <w:color w:val="2B2B2B"/>
                <w:sz w:val="18"/>
              </w:rPr>
              <w:t>Annual, or on process change</w:t>
            </w:r>
          </w:p>
        </w:tc>
      </w:tr>
    </w:tbl>
    <w:p>
      <w:pPr>
        <w:spacing w:before="240" w:after="100"/>
        <w:pBdr>
          <w:bottom w:val="single" w:sz="10" w:space="3" w:color="D8C7D1"/>
        </w:pBdr>
      </w:pPr>
      <w:r>
        <w:rPr>
          <w:rFonts w:ascii="Calibri" w:hAnsi="Calibri"/>
          <w:b/>
          <w:color w:val="5A2A4D"/>
          <w:sz w:val="23"/>
          <w:spacing w:val="14"/>
        </w:rPr>
        <w:t>1. Purpose</w:t>
      </w:r>
    </w:p>
    <w:p>
      <w:pPr>
        <w:spacing w:after="120"/>
      </w:pPr>
      <w:r>
        <w:rPr>
          <w:rFonts w:ascii="Calibri" w:hAnsi="Calibri"/>
          <w:i w:val="0"/>
          <w:color w:val="2B2B2B"/>
          <w:sz w:val="21"/>
        </w:rPr>
        <w:t>This procedure ensures that each business day’s sales are completely and accurately captured and that the independent records of that day — the point-of-sale (POS) system, the QuickBooks Online general ledger, the bank, and the state track-and-trace (seed-to-sale) system — agree with one another. A disciplined daily reconciliation is the business’s earliest detection point for error, theft, register mistakes, and product diversion, and it produces the clean daily revenue and tax records the business needs for compliant reporting.</w:t>
      </w:r>
    </w:p>
    <w:p>
      <w:pPr>
        <w:spacing w:before="240" w:after="100"/>
        <w:pBdr>
          <w:bottom w:val="single" w:sz="10" w:space="3" w:color="D8C7D1"/>
        </w:pBdr>
      </w:pPr>
      <w:r>
        <w:rPr>
          <w:rFonts w:ascii="Calibri" w:hAnsi="Calibri"/>
          <w:b/>
          <w:color w:val="5A2A4D"/>
          <w:sz w:val="23"/>
          <w:spacing w:val="14"/>
        </w:rPr>
        <w:t>2. Scope</w:t>
      </w:r>
    </w:p>
    <w:p>
      <w:pPr>
        <w:spacing w:after="120"/>
      </w:pPr>
      <w:r>
        <w:rPr>
          <w:rFonts w:ascii="Calibri" w:hAnsi="Calibri"/>
          <w:i w:val="0"/>
          <w:color w:val="2B2B2B"/>
          <w:sz w:val="21"/>
        </w:rPr>
        <w:t>This procedure applies to all retail sales transacted at Company for a given business day, across every tender type — cash, debit, and electronic. It runs from close-of-day reporting in POS system through posting of the daily sales entry in QuickBooks Online and tie-out to the bank, and it includes sales-tax tracking and confirmation that POS sales agree with track-and-trace system dispensing. Cash counting and deposit mechanics are covered in SOP 01; product-level inventory reconciliation is covered in SOP 11.</w:t>
      </w:r>
    </w:p>
    <w:p>
      <w:pPr>
        <w:spacing w:before="240" w:after="100"/>
        <w:pBdr>
          <w:bottom w:val="single" w:sz="10" w:space="3" w:color="D8C7D1"/>
        </w:pBdr>
      </w:pPr>
      <w:r>
        <w:rPr>
          <w:rFonts w:ascii="Calibri" w:hAnsi="Calibri"/>
          <w:b/>
          <w:color w:val="5A2A4D"/>
          <w:sz w:val="23"/>
          <w:spacing w:val="14"/>
        </w:rPr>
        <w:t>3. Definitions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376"/>
            <w:shd w:val="clear" w:color="auto" w:fill="5A2A4D"/>
          </w:tcPr>
          <w:p>
            <w:pPr>
              <w:spacing w:after="0" w:before="0"/>
            </w:pPr>
            <w:r/>
            <w:r>
              <w:rPr>
                <w:rFonts w:ascii="Calibri" w:hAnsi="Calibri"/>
                <w:b/>
                <w:i w:val="0"/>
                <w:color w:val="FFFFFF"/>
                <w:sz w:val="17"/>
              </w:rPr>
              <w:t>Term</w:t>
            </w:r>
          </w:p>
        </w:tc>
        <w:tc>
          <w:tcPr>
            <w:tcW w:type="dxa" w:w="6984"/>
            <w:shd w:val="clear" w:color="auto" w:fill="5A2A4D"/>
          </w:tcPr>
          <w:p>
            <w:pPr>
              <w:spacing w:after="0" w:before="0"/>
            </w:pPr>
            <w:r/>
            <w:r>
              <w:rPr>
                <w:rFonts w:ascii="Calibri" w:hAnsi="Calibri"/>
                <w:b/>
                <w:i w:val="0"/>
                <w:color w:val="FFFFFF"/>
                <w:sz w:val="17"/>
              </w:rPr>
              <w:t>Definition</w:t>
            </w:r>
          </w:p>
        </w:tc>
      </w:tr>
      <w:tr>
        <w:tc>
          <w:tcPr>
            <w:tcW w:type="dxa" w:w="2376"/>
            <w:vAlign w:val="center"/>
          </w:tcPr>
          <w:p>
            <w:pPr>
              <w:spacing w:after="0" w:before="0"/>
            </w:pPr>
            <w:r/>
            <w:r>
              <w:rPr>
                <w:rFonts w:ascii="Calibri" w:hAnsi="Calibri"/>
                <w:b/>
                <w:i w:val="0"/>
                <w:color w:val="5A2A4D"/>
                <w:sz w:val="18"/>
              </w:rPr>
              <w:t>Close of Day</w:t>
            </w:r>
          </w:p>
        </w:tc>
        <w:tc>
          <w:tcPr>
            <w:tcW w:type="dxa" w:w="6984"/>
            <w:vAlign w:val="center"/>
          </w:tcPr>
          <w:p>
            <w:pPr>
              <w:spacing w:after="0" w:before="0"/>
            </w:pPr>
            <w:r/>
            <w:r>
              <w:rPr>
                <w:rFonts w:ascii="Calibri" w:hAnsi="Calibri"/>
                <w:b w:val="0"/>
                <w:i w:val="0"/>
                <w:color w:val="2B2B2B"/>
                <w:sz w:val="18"/>
              </w:rPr>
              <w:t>The point after the final sale when all registers are closed in POS system and daily reports are generated.</w:t>
            </w:r>
          </w:p>
        </w:tc>
      </w:tr>
      <w:tr>
        <w:tc>
          <w:tcPr>
            <w:tcW w:type="dxa" w:w="2376"/>
            <w:vAlign w:val="center"/>
          </w:tcPr>
          <w:p>
            <w:pPr>
              <w:spacing w:after="0" w:before="0"/>
            </w:pPr>
            <w:r/>
            <w:r>
              <w:rPr>
                <w:rFonts w:ascii="Calibri" w:hAnsi="Calibri"/>
                <w:b/>
                <w:i w:val="0"/>
                <w:color w:val="5A2A4D"/>
                <w:sz w:val="18"/>
              </w:rPr>
              <w:t>Daily Sales Summary</w:t>
            </w:r>
          </w:p>
        </w:tc>
        <w:tc>
          <w:tcPr>
            <w:tcW w:type="dxa" w:w="6984"/>
            <w:vAlign w:val="center"/>
          </w:tcPr>
          <w:p>
            <w:pPr>
              <w:spacing w:after="0" w:before="0"/>
            </w:pPr>
            <w:r/>
            <w:r>
              <w:rPr>
                <w:rFonts w:ascii="Calibri" w:hAnsi="Calibri"/>
                <w:b w:val="0"/>
                <w:i w:val="0"/>
                <w:color w:val="2B2B2B"/>
                <w:sz w:val="18"/>
              </w:rPr>
              <w:t>POS system end-of-day report showing gross sales, discounts, net sales, sales tax, and totals by tender type.</w:t>
            </w:r>
          </w:p>
        </w:tc>
      </w:tr>
      <w:tr>
        <w:tc>
          <w:tcPr>
            <w:tcW w:type="dxa" w:w="2376"/>
            <w:vAlign w:val="center"/>
          </w:tcPr>
          <w:p>
            <w:pPr>
              <w:spacing w:after="0" w:before="0"/>
            </w:pPr>
            <w:r/>
            <w:r>
              <w:rPr>
                <w:rFonts w:ascii="Calibri" w:hAnsi="Calibri"/>
                <w:b/>
                <w:i w:val="0"/>
                <w:color w:val="5A2A4D"/>
                <w:sz w:val="18"/>
              </w:rPr>
              <w:t>Tender Type</w:t>
            </w:r>
          </w:p>
        </w:tc>
        <w:tc>
          <w:tcPr>
            <w:tcW w:type="dxa" w:w="6984"/>
            <w:vAlign w:val="center"/>
          </w:tcPr>
          <w:p>
            <w:pPr>
              <w:spacing w:after="0" w:before="0"/>
            </w:pPr>
            <w:r/>
            <w:r>
              <w:rPr>
                <w:rFonts w:ascii="Calibri" w:hAnsi="Calibri"/>
                <w:b w:val="0"/>
                <w:i w:val="0"/>
                <w:color w:val="2B2B2B"/>
                <w:sz w:val="18"/>
              </w:rPr>
              <w:t>The form of payment taken — cash, debit, or other electronic payment.</w:t>
            </w:r>
          </w:p>
        </w:tc>
      </w:tr>
      <w:tr>
        <w:tc>
          <w:tcPr>
            <w:tcW w:type="dxa" w:w="2376"/>
            <w:vAlign w:val="center"/>
          </w:tcPr>
          <w:p>
            <w:pPr>
              <w:spacing w:after="0" w:before="0"/>
            </w:pPr>
            <w:r/>
            <w:r>
              <w:rPr>
                <w:rFonts w:ascii="Calibri" w:hAnsi="Calibri"/>
                <w:b/>
                <w:i w:val="0"/>
                <w:color w:val="5A2A4D"/>
                <w:sz w:val="18"/>
              </w:rPr>
              <w:t>Sales Journal Entry</w:t>
            </w:r>
          </w:p>
        </w:tc>
        <w:tc>
          <w:tcPr>
            <w:tcW w:type="dxa" w:w="6984"/>
            <w:vAlign w:val="center"/>
          </w:tcPr>
          <w:p>
            <w:pPr>
              <w:spacing w:after="0" w:before="0"/>
            </w:pPr>
            <w:r/>
            <w:r>
              <w:rPr>
                <w:rFonts w:ascii="Calibri" w:hAnsi="Calibri"/>
                <w:b w:val="0"/>
                <w:i w:val="0"/>
                <w:color w:val="2B2B2B"/>
                <w:sz w:val="18"/>
              </w:rPr>
              <w:t>The accounting entry posting the day’s net sales to revenue, sales tax to a liability, and tender to cash or clearing accounts.</w:t>
            </w:r>
          </w:p>
        </w:tc>
      </w:tr>
      <w:tr>
        <w:tc>
          <w:tcPr>
            <w:tcW w:type="dxa" w:w="2376"/>
            <w:vAlign w:val="center"/>
          </w:tcPr>
          <w:p>
            <w:pPr>
              <w:spacing w:after="0" w:before="0"/>
            </w:pPr>
            <w:r/>
            <w:r>
              <w:rPr>
                <w:rFonts w:ascii="Calibri" w:hAnsi="Calibri"/>
                <w:b/>
                <w:i w:val="0"/>
                <w:color w:val="5A2A4D"/>
                <w:sz w:val="18"/>
              </w:rPr>
              <w:t>Clearing Account</w:t>
            </w:r>
          </w:p>
        </w:tc>
        <w:tc>
          <w:tcPr>
            <w:tcW w:type="dxa" w:w="6984"/>
            <w:vAlign w:val="center"/>
          </w:tcPr>
          <w:p>
            <w:pPr>
              <w:spacing w:after="0" w:before="0"/>
            </w:pPr>
            <w:r/>
            <w:r>
              <w:rPr>
                <w:rFonts w:ascii="Calibri" w:hAnsi="Calibri"/>
                <w:b w:val="0"/>
                <w:i w:val="0"/>
                <w:color w:val="2B2B2B"/>
                <w:sz w:val="18"/>
              </w:rPr>
              <w:t>A temporary general-ledger account holding tender in transit until it is confirmed received in the bank.</w:t>
            </w:r>
          </w:p>
        </w:tc>
      </w:tr>
      <w:tr>
        <w:tc>
          <w:tcPr>
            <w:tcW w:type="dxa" w:w="2376"/>
            <w:vAlign w:val="center"/>
          </w:tcPr>
          <w:p>
            <w:pPr>
              <w:spacing w:after="0" w:before="0"/>
            </w:pPr>
            <w:r/>
            <w:r>
              <w:rPr>
                <w:rFonts w:ascii="Calibri" w:hAnsi="Calibri"/>
                <w:b/>
                <w:i w:val="0"/>
                <w:color w:val="5A2A4D"/>
                <w:sz w:val="18"/>
              </w:rPr>
              <w:t>Track-and-trace system</w:t>
            </w:r>
          </w:p>
        </w:tc>
        <w:tc>
          <w:tcPr>
            <w:tcW w:type="dxa" w:w="6984"/>
            <w:vAlign w:val="center"/>
          </w:tcPr>
          <w:p>
            <w:pPr>
              <w:spacing w:after="0" w:before="0"/>
            </w:pPr>
            <w:r/>
            <w:r>
              <w:rPr>
                <w:rFonts w:ascii="Calibri" w:hAnsi="Calibri"/>
                <w:b w:val="0"/>
                <w:i w:val="0"/>
                <w:color w:val="2B2B2B"/>
                <w:sz w:val="18"/>
              </w:rPr>
              <w:t>The state’s seed-to-sale tracking system, in which every dispensing transaction is recorded.</w:t>
            </w:r>
          </w:p>
        </w:tc>
      </w:tr>
    </w:tbl>
    <w:p>
      <w:pPr>
        <w:spacing w:before="240" w:after="100"/>
        <w:pBdr>
          <w:bottom w:val="single" w:sz="10" w:space="3" w:color="D8C7D1"/>
        </w:pBdr>
      </w:pPr>
      <w:r>
        <w:rPr>
          <w:rFonts w:ascii="Calibri" w:hAnsi="Calibri"/>
          <w:b/>
          <w:color w:val="5A2A4D"/>
          <w:sz w:val="23"/>
          <w:spacing w:val="14"/>
        </w:rPr>
        <w:t>4. Roles &amp; Responsibilities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808"/>
            <w:shd w:val="clear" w:color="auto" w:fill="5A2A4D"/>
          </w:tcPr>
          <w:p>
            <w:pPr>
              <w:spacing w:after="0" w:before="0"/>
            </w:pPr>
            <w:r/>
            <w:r>
              <w:rPr>
                <w:rFonts w:ascii="Calibri" w:hAnsi="Calibri"/>
                <w:b/>
                <w:i w:val="0"/>
                <w:color w:val="FFFFFF"/>
                <w:sz w:val="17"/>
              </w:rPr>
              <w:t>Role</w:t>
            </w:r>
          </w:p>
        </w:tc>
        <w:tc>
          <w:tcPr>
            <w:tcW w:type="dxa" w:w="6552"/>
            <w:shd w:val="clear" w:color="auto" w:fill="5A2A4D"/>
          </w:tcPr>
          <w:p>
            <w:pPr>
              <w:spacing w:after="0" w:before="0"/>
            </w:pPr>
            <w:r/>
            <w:r>
              <w:rPr>
                <w:rFonts w:ascii="Calibri" w:hAnsi="Calibri"/>
                <w:b/>
                <w:i w:val="0"/>
                <w:color w:val="FFFFFF"/>
                <w:sz w:val="17"/>
              </w:rPr>
              <w:t>Responsibility</w:t>
            </w:r>
          </w:p>
        </w:tc>
      </w:tr>
      <w:tr>
        <w:tc>
          <w:tcPr>
            <w:tcW w:type="dxa" w:w="2808"/>
            <w:vAlign w:val="center"/>
          </w:tcPr>
          <w:p>
            <w:pPr>
              <w:spacing w:after="0" w:before="0"/>
            </w:pPr>
            <w:r/>
            <w:r>
              <w:rPr>
                <w:rFonts w:ascii="Calibri" w:hAnsi="Calibri"/>
                <w:b/>
                <w:i w:val="0"/>
                <w:color w:val="5A2A4D"/>
                <w:sz w:val="18"/>
              </w:rPr>
              <w:t>Shift Lead / Manager on Duty</w:t>
            </w:r>
          </w:p>
        </w:tc>
        <w:tc>
          <w:tcPr>
            <w:tcW w:type="dxa" w:w="6552"/>
            <w:vAlign w:val="center"/>
          </w:tcPr>
          <w:p>
            <w:pPr>
              <w:spacing w:after="0" w:before="0"/>
            </w:pPr>
            <w:r/>
            <w:r>
              <w:rPr>
                <w:rFonts w:ascii="Calibri" w:hAnsi="Calibri"/>
                <w:b w:val="0"/>
                <w:i w:val="0"/>
                <w:color w:val="2B2B2B"/>
                <w:sz w:val="18"/>
              </w:rPr>
              <w:t>Closes all registers in POS system at end of day; generates and verifies the Daily Sales Summary; confirms all drawers reconciled.</w:t>
            </w:r>
          </w:p>
        </w:tc>
      </w:tr>
      <w:tr>
        <w:tc>
          <w:tcPr>
            <w:tcW w:type="dxa" w:w="2808"/>
            <w:vAlign w:val="center"/>
          </w:tcPr>
          <w:p>
            <w:pPr>
              <w:spacing w:after="0" w:before="0"/>
            </w:pPr>
            <w:r/>
            <w:r>
              <w:rPr>
                <w:rFonts w:ascii="Calibri" w:hAnsi="Calibri"/>
                <w:b/>
                <w:i w:val="0"/>
                <w:color w:val="5A2A4D"/>
                <w:sz w:val="18"/>
              </w:rPr>
              <w:t>Accounting (the outsourced accounting provider / in-house lead)</w:t>
            </w:r>
          </w:p>
        </w:tc>
        <w:tc>
          <w:tcPr>
            <w:tcW w:type="dxa" w:w="6552"/>
            <w:vAlign w:val="center"/>
          </w:tcPr>
          <w:p>
            <w:pPr>
              <w:spacing w:after="0" w:before="0"/>
            </w:pPr>
            <w:r/>
            <w:r>
              <w:rPr>
                <w:rFonts w:ascii="Calibri" w:hAnsi="Calibri"/>
                <w:b w:val="0"/>
                <w:i w:val="0"/>
                <w:color w:val="2B2B2B"/>
                <w:sz w:val="18"/>
              </w:rPr>
              <w:t>Performs the daily reconciliation across POS system, QBO, the bank, and track-and-trace system; posts the sales journal entry; investigates and documents variances.</w:t>
            </w:r>
          </w:p>
        </w:tc>
      </w:tr>
      <w:tr>
        <w:tc>
          <w:tcPr>
            <w:tcW w:type="dxa" w:w="2808"/>
            <w:vAlign w:val="center"/>
          </w:tcPr>
          <w:p>
            <w:pPr>
              <w:spacing w:after="0" w:before="0"/>
            </w:pPr>
            <w:r/>
            <w:r>
              <w:rPr>
                <w:rFonts w:ascii="Calibri" w:hAnsi="Calibri"/>
                <w:b/>
                <w:i w:val="0"/>
                <w:color w:val="5A2A4D"/>
                <w:sz w:val="18"/>
              </w:rPr>
              <w:t>Inventory Lead</w:t>
            </w:r>
          </w:p>
        </w:tc>
        <w:tc>
          <w:tcPr>
            <w:tcW w:type="dxa" w:w="6552"/>
            <w:vAlign w:val="center"/>
          </w:tcPr>
          <w:p>
            <w:pPr>
              <w:spacing w:after="0" w:before="0"/>
            </w:pPr>
            <w:r/>
            <w:r>
              <w:rPr>
                <w:rFonts w:ascii="Calibri" w:hAnsi="Calibri"/>
                <w:b w:val="0"/>
                <w:i w:val="0"/>
                <w:color w:val="2B2B2B"/>
                <w:sz w:val="18"/>
              </w:rPr>
              <w:t>Confirms that track-and-trace system dispensed totals agree with POS system sales for the day (see SOP 11).</w:t>
            </w:r>
          </w:p>
        </w:tc>
      </w:tr>
      <w:tr>
        <w:tc>
          <w:tcPr>
            <w:tcW w:type="dxa" w:w="2808"/>
            <w:vAlign w:val="center"/>
          </w:tcPr>
          <w:p>
            <w:pPr>
              <w:spacing w:after="0" w:before="0"/>
            </w:pPr>
            <w:r/>
            <w:r>
              <w:rPr>
                <w:rFonts w:ascii="Calibri" w:hAnsi="Calibri"/>
                <w:b/>
                <w:i w:val="0"/>
                <w:color w:val="5A2A4D"/>
                <w:sz w:val="18"/>
              </w:rPr>
              <w:t>Controller</w:t>
            </w:r>
          </w:p>
        </w:tc>
        <w:tc>
          <w:tcPr>
            <w:tcW w:type="dxa" w:w="6552"/>
            <w:vAlign w:val="center"/>
          </w:tcPr>
          <w:p>
            <w:pPr>
              <w:spacing w:after="0" w:before="0"/>
            </w:pPr>
            <w:r/>
            <w:r>
              <w:rPr>
                <w:rFonts w:ascii="Calibri" w:hAnsi="Calibri"/>
                <w:b w:val="0"/>
                <w:i w:val="0"/>
                <w:color w:val="2B2B2B"/>
                <w:sz w:val="18"/>
              </w:rPr>
              <w:t>Oversight — reviews reconciliation completeness and variance trends; reviews the sales journal-entry methodology; performs independent review.</w:t>
            </w:r>
          </w:p>
        </w:tc>
      </w:tr>
      <w:tr>
        <w:tc>
          <w:tcPr>
            <w:tcW w:type="dxa" w:w="2808"/>
            <w:vAlign w:val="center"/>
          </w:tcPr>
          <w:p>
            <w:pPr>
              <w:spacing w:after="0" w:before="0"/>
            </w:pPr>
            <w:r/>
            <w:r>
              <w:rPr>
                <w:rFonts w:ascii="Calibri" w:hAnsi="Calibri"/>
                <w:b/>
                <w:i w:val="0"/>
                <w:color w:val="5A2A4D"/>
                <w:sz w:val="18"/>
              </w:rPr>
              <w:t>Owner</w:t>
            </w:r>
          </w:p>
        </w:tc>
        <w:tc>
          <w:tcPr>
            <w:tcW w:type="dxa" w:w="6552"/>
            <w:vAlign w:val="center"/>
          </w:tcPr>
          <w:p>
            <w:pPr>
              <w:spacing w:after="0" w:before="0"/>
            </w:pPr>
            <w:r/>
            <w:r>
              <w:rPr>
                <w:rFonts w:ascii="Calibri" w:hAnsi="Calibri"/>
                <w:b w:val="0"/>
                <w:i w:val="0"/>
                <w:color w:val="2B2B2B"/>
                <w:sz w:val="18"/>
              </w:rPr>
              <w:t>Notified of unresolved or material variances; final authority on escalated items.</w:t>
            </w:r>
          </w:p>
        </w:tc>
      </w:tr>
    </w:tbl>
    <w:p>
      <w:pPr>
        <w:spacing w:before="240" w:after="100"/>
        <w:pBdr>
          <w:bottom w:val="single" w:sz="10" w:space="3" w:color="D8C7D1"/>
        </w:pBdr>
      </w:pPr>
      <w:r>
        <w:rPr>
          <w:rFonts w:ascii="Calibri" w:hAnsi="Calibri"/>
          <w:b/>
          <w:color w:val="5A2A4D"/>
          <w:sz w:val="23"/>
          <w:spacing w:val="14"/>
        </w:rPr>
        <w:t>5. Procedure</w:t>
      </w:r>
    </w:p>
    <w:p>
      <w:pPr>
        <w:spacing w:before="140" w:after="60"/>
      </w:pPr>
      <w:r>
        <w:rPr>
          <w:rFonts w:ascii="Calibri" w:hAnsi="Calibri"/>
          <w:b/>
          <w:color w:val="5A2A4D"/>
          <w:sz w:val="20"/>
        </w:rPr>
        <w:t>A. Close of Day — Operations</w:t>
      </w:r>
    </w:p>
    <w:p>
      <w:pPr>
        <w:pStyle w:val="ListNumber"/>
        <w:numPr>
          <w:ilvl w:val="0"/>
          <w:numId w:val="11"/>
        </w:numPr>
        <w:spacing w:after="80"/>
      </w:pPr>
      <w:r>
        <w:rPr>
          <w:rFonts w:ascii="Calibri" w:hAnsi="Calibri"/>
          <w:b w:val="0"/>
          <w:color w:val="2B2B2B"/>
          <w:sz w:val="19"/>
        </w:rPr>
        <w:t>After the final sale of the day — completed no later than 11:00 p.m. in accordance with permitted business hours — the Manager closes all registers in POS system and generates the Daily Sales Summary.</w:t>
      </w:r>
    </w:p>
    <w:p>
      <w:pPr>
        <w:pStyle w:val="ListNumber"/>
        <w:numPr>
          <w:ilvl w:val="0"/>
          <w:numId w:val="11"/>
        </w:numPr>
        <w:spacing w:after="80"/>
      </w:pPr>
      <w:r>
        <w:rPr>
          <w:rFonts w:ascii="Calibri" w:hAnsi="Calibri"/>
          <w:b w:val="0"/>
          <w:color w:val="2B2B2B"/>
          <w:sz w:val="19"/>
        </w:rPr>
        <w:t>The Manager confirms all drawers have been counted and reconciled under SOP 01 and records any cash over/short.</w:t>
      </w:r>
    </w:p>
    <w:p>
      <w:pPr>
        <w:pStyle w:val="ListNumber"/>
        <w:numPr>
          <w:ilvl w:val="0"/>
          <w:numId w:val="11"/>
        </w:numPr>
        <w:spacing w:after="80"/>
      </w:pPr>
      <w:r>
        <w:rPr>
          <w:rFonts w:ascii="Calibri" w:hAnsi="Calibri"/>
          <w:b w:val="0"/>
          <w:color w:val="2B2B2B"/>
          <w:sz w:val="19"/>
        </w:rPr>
        <w:t>POS system close-of-day reports are exported and saved to document management system (09_Sales &amp; POS).</w:t>
      </w:r>
    </w:p>
    <w:p>
      <w:pPr>
        <w:spacing w:before="140" w:after="60"/>
      </w:pPr>
      <w:r>
        <w:rPr>
          <w:rFonts w:ascii="Calibri" w:hAnsi="Calibri"/>
          <w:b/>
          <w:color w:val="5A2A4D"/>
          <w:sz w:val="20"/>
        </w:rPr>
        <w:t>B. Reconciliation — Accounting (next business day)</w:t>
      </w:r>
    </w:p>
    <w:p>
      <w:pPr>
        <w:pStyle w:val="ListNumber"/>
        <w:numPr>
          <w:ilvl w:val="0"/>
          <w:numId w:val="11"/>
        </w:numPr>
        <w:spacing w:after="80"/>
      </w:pPr>
      <w:r>
        <w:rPr>
          <w:rFonts w:ascii="Calibri" w:hAnsi="Calibri"/>
          <w:b w:val="0"/>
          <w:color w:val="2B2B2B"/>
          <w:sz w:val="19"/>
        </w:rPr>
        <w:t>Accounting pulls POS system Daily Sales Summary: gross sales, discounts, net sales, sales tax, and totals by tender type.</w:t>
      </w:r>
    </w:p>
    <w:p>
      <w:pPr>
        <w:pStyle w:val="ListNumber"/>
        <w:numPr>
          <w:ilvl w:val="0"/>
          <w:numId w:val="11"/>
        </w:numPr>
        <w:spacing w:after="80"/>
      </w:pPr>
      <w:r>
        <w:rPr>
          <w:rFonts w:ascii="Calibri" w:hAnsi="Calibri"/>
          <w:b w:val="0"/>
          <w:color w:val="2B2B2B"/>
          <w:sz w:val="19"/>
        </w:rPr>
        <w:t>Accounting confirms the applicable cannabis sales/use tax was correctly applied to adult-use sales and that any medical sales were recorded as tax-exempt.</w:t>
      </w:r>
    </w:p>
    <w:p>
      <w:pPr>
        <w:pStyle w:val="ListNumber"/>
        <w:numPr>
          <w:ilvl w:val="0"/>
          <w:numId w:val="11"/>
        </w:numPr>
        <w:spacing w:after="80"/>
      </w:pPr>
      <w:r>
        <w:rPr>
          <w:rFonts w:ascii="Calibri" w:hAnsi="Calibri"/>
          <w:b w:val="0"/>
          <w:color w:val="2B2B2B"/>
          <w:sz w:val="19"/>
        </w:rPr>
        <w:t>Cash tender is tied to the bank deposit (the SOP 01 Deposit Record) and to the bank feed in QuickBooks Online.</w:t>
      </w:r>
    </w:p>
    <w:p>
      <w:pPr>
        <w:pStyle w:val="ListNumber"/>
        <w:numPr>
          <w:ilvl w:val="0"/>
          <w:numId w:val="11"/>
        </w:numPr>
        <w:spacing w:after="80"/>
      </w:pPr>
      <w:r>
        <w:rPr>
          <w:rFonts w:ascii="Calibri" w:hAnsi="Calibri"/>
          <w:b w:val="0"/>
          <w:color w:val="2B2B2B"/>
          <w:sz w:val="19"/>
        </w:rPr>
        <w:t>Debit and electronic tender are tied to the payment-processor settlement and to the bank feed.</w:t>
      </w:r>
    </w:p>
    <w:p>
      <w:pPr>
        <w:pStyle w:val="ListNumber"/>
        <w:numPr>
          <w:ilvl w:val="0"/>
          <w:numId w:val="11"/>
        </w:numPr>
        <w:spacing w:after="80"/>
      </w:pPr>
      <w:r>
        <w:rPr>
          <w:rFonts w:ascii="Calibri" w:hAnsi="Calibri"/>
          <w:b w:val="0"/>
          <w:color w:val="2B2B2B"/>
          <w:sz w:val="19"/>
        </w:rPr>
        <w:t>Accounting posts the daily sales journal entry to QBO: net sales to revenue, sales tax to the sales-tax-payable liability, and tender to the appropriate cash or clearing accounts.</w:t>
      </w:r>
    </w:p>
    <w:p>
      <w:pPr>
        <w:pStyle w:val="ListNumber"/>
        <w:numPr>
          <w:ilvl w:val="0"/>
          <w:numId w:val="11"/>
        </w:numPr>
        <w:spacing w:after="80"/>
      </w:pPr>
      <w:r>
        <w:rPr>
          <w:rFonts w:ascii="Calibri" w:hAnsi="Calibri"/>
          <w:b w:val="0"/>
          <w:color w:val="2B2B2B"/>
          <w:sz w:val="19"/>
        </w:rPr>
        <w:t>Accounting confirms POS system net sales agree with track-and-trace system dispensed totals for the day; product-level differences are handed to the Inventory Lead under SOP 11.</w:t>
      </w:r>
    </w:p>
    <w:p>
      <w:pPr>
        <w:spacing w:before="140" w:after="60"/>
      </w:pPr>
      <w:r>
        <w:rPr>
          <w:rFonts w:ascii="Calibri" w:hAnsi="Calibri"/>
          <w:b/>
          <w:color w:val="5A2A4D"/>
          <w:sz w:val="20"/>
        </w:rPr>
        <w:t>C. Variance Handling &amp; Sign-Off</w:t>
      </w:r>
    </w:p>
    <w:p>
      <w:pPr>
        <w:pStyle w:val="ListNumber"/>
        <w:numPr>
          <w:ilvl w:val="0"/>
          <w:numId w:val="11"/>
        </w:numPr>
        <w:spacing w:after="80"/>
      </w:pPr>
      <w:r>
        <w:rPr>
          <w:rFonts w:ascii="Calibri" w:hAnsi="Calibri"/>
          <w:b w:val="0"/>
          <w:color w:val="2B2B2B"/>
          <w:sz w:val="19"/>
        </w:rPr>
        <w:t>Any difference among POS system, QBO, the bank, or track-and-trace system is recorded on the Sales Reconciliation Variance Log with the amount and probable cause.</w:t>
      </w:r>
    </w:p>
    <w:p>
      <w:pPr>
        <w:pStyle w:val="ListNumber"/>
        <w:numPr>
          <w:ilvl w:val="0"/>
          <w:numId w:val="11"/>
        </w:numPr>
        <w:spacing w:after="80"/>
      </w:pPr>
      <w:r>
        <w:rPr>
          <w:rFonts w:ascii="Calibri" w:hAnsi="Calibri"/>
          <w:b w:val="0"/>
          <w:color w:val="2B2B2B"/>
          <w:sz w:val="19"/>
        </w:rPr>
        <w:t>Variances within the established tolerance are resolved and documented by Accounting; variances above tolerance are escalated to Controller and management.</w:t>
      </w:r>
    </w:p>
    <w:p>
      <w:pPr>
        <w:pStyle w:val="ListNumber"/>
        <w:numPr>
          <w:ilvl w:val="0"/>
          <w:numId w:val="11"/>
        </w:numPr>
        <w:spacing w:after="80"/>
      </w:pPr>
      <w:r>
        <w:rPr>
          <w:rFonts w:ascii="Calibri" w:hAnsi="Calibri"/>
          <w:b w:val="0"/>
          <w:color w:val="2B2B2B"/>
          <w:sz w:val="19"/>
        </w:rPr>
        <w:t>The completed reconciliation is reviewed and marked complete; all supporting reports are filed to document management system (09_Sales &amp; POS / 02_Daily Sales Reconciliation).</w:t>
      </w:r>
    </w:p>
    <w:p>
      <w:pPr>
        <w:spacing w:after="80"/>
      </w:pPr>
      <w:r>
        <w:rPr>
          <w:rFonts w:ascii="Calibri" w:hAnsi="Calibri"/>
          <w:i/>
          <w:color w:val="707070"/>
          <w:sz w:val="17"/>
        </w:rPr>
        <w:t>The variance tolerance threshold, and whether the sales entry is posted daily or in a periodic batch, are decisions for Company and its accounting provider to confirm. Controller recommends a daily entry through the opening period for tighter control.</w:t>
      </w:r>
    </w:p>
    <w:p>
      <w:pPr>
        <w:spacing w:before="240" w:after="100"/>
        <w:pBdr>
          <w:bottom w:val="single" w:sz="10" w:space="3" w:color="D8C7D1"/>
        </w:pBdr>
      </w:pPr>
      <w:r>
        <w:rPr>
          <w:rFonts w:ascii="Calibri" w:hAnsi="Calibri"/>
          <w:b/>
          <w:color w:val="5A2A4D"/>
          <w:sz w:val="23"/>
          <w:spacing w:val="14"/>
        </w:rPr>
        <w:t>6. Internal Controls</w:t>
      </w:r>
    </w:p>
    <w:p>
      <w:pPr>
        <w:pStyle w:val="ListBullet"/>
        <w:spacing w:after="80"/>
      </w:pPr>
      <w:r>
        <w:rPr>
          <w:rFonts w:ascii="Calibri" w:hAnsi="Calibri"/>
          <w:b w:val="0"/>
          <w:color w:val="2B2B2B"/>
          <w:sz w:val="19"/>
        </w:rPr>
        <w:t>A three-way tie-out — point of sale to general ledger to bank — is performed every business day; no day is left closed without a completed reconciliation.</w:t>
      </w:r>
    </w:p>
    <w:p>
      <w:pPr>
        <w:pStyle w:val="ListBullet"/>
        <w:spacing w:after="80"/>
      </w:pPr>
      <w:r>
        <w:rPr>
          <w:rFonts w:ascii="Calibri" w:hAnsi="Calibri"/>
          <w:b w:val="0"/>
          <w:color w:val="2B2B2B"/>
          <w:sz w:val="19"/>
        </w:rPr>
        <w:t>Segregation of duties: the person who reconciles sales does not handle cash and does not have register access.</w:t>
      </w:r>
    </w:p>
    <w:p>
      <w:pPr>
        <w:pStyle w:val="ListBullet"/>
        <w:spacing w:after="80"/>
      </w:pPr>
      <w:r>
        <w:rPr>
          <w:rFonts w:ascii="Calibri" w:hAnsi="Calibri"/>
          <w:b w:val="0"/>
          <w:color w:val="2B2B2B"/>
          <w:sz w:val="19"/>
        </w:rPr>
        <w:t>Sales tax is tracked as a liability from the first day of sales and is never commingled with revenue.</w:t>
      </w:r>
    </w:p>
    <w:p>
      <w:pPr>
        <w:pStyle w:val="ListBullet"/>
        <w:spacing w:after="80"/>
      </w:pPr>
      <w:r>
        <w:rPr>
          <w:rFonts w:ascii="Calibri" w:hAnsi="Calibri"/>
          <w:b w:val="0"/>
          <w:color w:val="2B2B2B"/>
          <w:sz w:val="19"/>
        </w:rPr>
        <w:t>Discounts, promotions, and vendor-deal pricing are captured and reviewed as part of the daily summary.</w:t>
      </w:r>
    </w:p>
    <w:p>
      <w:pPr>
        <w:pStyle w:val="ListBullet"/>
        <w:spacing w:after="80"/>
      </w:pPr>
      <w:r>
        <w:rPr>
          <w:rFonts w:ascii="Calibri" w:hAnsi="Calibri"/>
          <w:b w:val="0"/>
          <w:color w:val="2B2B2B"/>
          <w:sz w:val="19"/>
        </w:rPr>
        <w:t>Tender in transit is posted through a clearing account and cleared on a timely basis.</w:t>
      </w:r>
    </w:p>
    <w:p>
      <w:pPr>
        <w:pStyle w:val="ListBullet"/>
        <w:spacing w:after="80"/>
      </w:pPr>
      <w:r>
        <w:rPr>
          <w:rFonts w:ascii="Calibri" w:hAnsi="Calibri"/>
          <w:b w:val="0"/>
          <w:color w:val="2B2B2B"/>
          <w:sz w:val="19"/>
        </w:rPr>
        <w:t>POS system-to-track-and-trace system sales agreement is confirmed daily, linking the financial record to regulated product movement.</w:t>
      </w:r>
    </w:p>
    <w:p>
      <w:pPr>
        <w:pStyle w:val="ListBullet"/>
        <w:spacing w:after="80"/>
      </w:pPr>
      <w:r>
        <w:rPr>
          <w:rFonts w:ascii="Calibri" w:hAnsi="Calibri"/>
          <w:b w:val="0"/>
          <w:color w:val="2B2B2B"/>
          <w:sz w:val="19"/>
        </w:rPr>
        <w:t>Completed reconciliations receive independent review by Controller or the accounting lead.</w:t>
      </w:r>
    </w:p>
    <w:p>
      <w:pPr>
        <w:spacing w:before="240" w:after="100"/>
        <w:pBdr>
          <w:bottom w:val="single" w:sz="10" w:space="3" w:color="D8C7D1"/>
        </w:pBdr>
      </w:pPr>
      <w:r>
        <w:rPr>
          <w:rFonts w:ascii="Calibri" w:hAnsi="Calibri"/>
          <w:b/>
          <w:color w:val="5A2A4D"/>
          <w:sz w:val="23"/>
          <w:spacing w:val="14"/>
        </w:rPr>
        <w:t>7. Regulatory &amp; Compliance Basis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2088"/>
            <w:shd w:val="clear" w:color="auto" w:fill="5A2A4D"/>
          </w:tcPr>
          <w:p>
            <w:pPr>
              <w:spacing w:after="0" w:before="0"/>
            </w:pPr>
            <w:r/>
            <w:r>
              <w:rPr>
                <w:rFonts w:ascii="Calibri" w:hAnsi="Calibri"/>
                <w:b/>
                <w:i w:val="0"/>
                <w:color w:val="FFFFFF"/>
                <w:sz w:val="16"/>
              </w:rPr>
              <w:t>Reference</w:t>
            </w:r>
          </w:p>
        </w:tc>
        <w:tc>
          <w:tcPr>
            <w:tcW w:type="dxa" w:w="6264"/>
            <w:shd w:val="clear" w:color="auto" w:fill="5A2A4D"/>
          </w:tcPr>
          <w:p>
            <w:pPr>
              <w:spacing w:after="0" w:before="0"/>
            </w:pPr>
            <w:r/>
            <w:r>
              <w:rPr>
                <w:rFonts w:ascii="Calibri" w:hAnsi="Calibri"/>
                <w:b/>
                <w:i w:val="0"/>
                <w:color w:val="FFFFFF"/>
                <w:sz w:val="16"/>
              </w:rPr>
              <w:t>Requirement / Basis</w:t>
            </w:r>
          </w:p>
        </w:tc>
        <w:tc>
          <w:tcPr>
            <w:tcW w:type="dxa" w:w="1008"/>
            <w:shd w:val="clear" w:color="auto" w:fill="5A2A4D"/>
          </w:tcPr>
          <w:p>
            <w:pPr>
              <w:spacing w:after="0" w:before="0"/>
            </w:pPr>
            <w:r/>
            <w:r>
              <w:rPr>
                <w:rFonts w:ascii="Calibri" w:hAnsi="Calibri"/>
                <w:b/>
                <w:i w:val="0"/>
                <w:color w:val="FFFFFF"/>
                <w:sz w:val="16"/>
              </w:rPr>
              <w:t>Class</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A business must use the seed-to-sale tracking system to track stock from receipt through dispensing; each day’s POS sales must correspond to track-and-trace system dispensing.</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All dispensing to a patient, caregiver, or adult-use consumer must be recorded as a sale in the seed-to-sale tracking system.</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tax statute; state regulator guidance</w:t>
            </w:r>
          </w:p>
        </w:tc>
        <w:tc>
          <w:tcPr>
            <w:tcW w:type="dxa" w:w="6264"/>
            <w:vAlign w:val="center"/>
          </w:tcPr>
          <w:p>
            <w:pPr>
              <w:spacing w:after="0" w:before="0"/>
            </w:pPr>
            <w:r/>
            <w:r>
              <w:rPr>
                <w:rFonts w:ascii="Calibri" w:hAnsi="Calibri"/>
                <w:b w:val="0"/>
                <w:i w:val="0"/>
                <w:color w:val="2B2B2B"/>
                <w:sz w:val="17"/>
              </w:rPr>
              <w:t>Applicable state cannabis sales/use tax applies to adult-use sales; sales to qualifying patients and caregivers are exempt. The reconciliation must segregate taxable and exempt sales.</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State regulator guidance — hours of operation</w:t>
            </w:r>
          </w:p>
        </w:tc>
        <w:tc>
          <w:tcPr>
            <w:tcW w:type="dxa" w:w="6264"/>
            <w:vAlign w:val="center"/>
          </w:tcPr>
          <w:p>
            <w:pPr>
              <w:spacing w:after="0" w:before="0"/>
            </w:pPr>
            <w:r/>
            <w:r>
              <w:rPr>
                <w:rFonts w:ascii="Calibri" w:hAnsi="Calibri"/>
                <w:b w:val="0"/>
                <w:i w:val="0"/>
                <w:color w:val="2B2B2B"/>
                <w:sz w:val="17"/>
              </w:rPr>
              <w:t>Sales may occur only between 8:00 a.m. and 11:00 p.m.; the final sale of the day must be completed before 11:00 p.m.</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A business must maintain records and make them available to state cannabis regulator; daily sales records fall within this requirement.</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Three-way tie-out and daily journal entry</w:t>
            </w:r>
          </w:p>
        </w:tc>
        <w:tc>
          <w:tcPr>
            <w:tcW w:type="dxa" w:w="6264"/>
            <w:vAlign w:val="center"/>
          </w:tcPr>
          <w:p>
            <w:pPr>
              <w:spacing w:after="0" w:before="0"/>
            </w:pPr>
            <w:r/>
            <w:r>
              <w:rPr>
                <w:rFonts w:ascii="Calibri" w:hAnsi="Calibri"/>
                <w:b w:val="0"/>
                <w:i w:val="0"/>
                <w:color w:val="2B2B2B"/>
                <w:sz w:val="17"/>
              </w:rPr>
              <w:t>POS, ledger, and bank are reconciled daily and the sales entry is posted promptly.</w:t>
            </w:r>
          </w:p>
        </w:tc>
        <w:tc>
          <w:tcPr>
            <w:tcW w:type="dxa" w:w="1008"/>
            <w:vAlign w:val="center"/>
          </w:tcPr>
          <w:p>
            <w:pPr>
              <w:spacing w:after="0" w:before="0"/>
            </w:pPr>
            <w:r/>
            <w:r>
              <w:rPr>
                <w:rFonts w:ascii="Calibri" w:hAnsi="Calibri"/>
                <w:b w:val="0"/>
                <w:i w:val="0"/>
                <w:color w:val="2B2B2B"/>
                <w:sz w:val="17"/>
              </w:rPr>
              <w:t>BP</w:t>
            </w:r>
          </w:p>
        </w:tc>
      </w:tr>
      <w:tr>
        <w:tc>
          <w:tcPr>
            <w:tcW w:type="dxa" w:w="2088"/>
            <w:vAlign w:val="center"/>
          </w:tcPr>
          <w:p>
            <w:pPr>
              <w:spacing w:after="0" w:before="0"/>
            </w:pPr>
            <w:r/>
            <w:r>
              <w:rPr>
                <w:rFonts w:ascii="Calibri" w:hAnsi="Calibri"/>
                <w:b/>
                <w:i w:val="0"/>
                <w:color w:val="5A2A4D"/>
                <w:sz w:val="17"/>
              </w:rPr>
              <w:t>Segregation of duties</w:t>
            </w:r>
          </w:p>
        </w:tc>
        <w:tc>
          <w:tcPr>
            <w:tcW w:type="dxa" w:w="6264"/>
            <w:vAlign w:val="center"/>
          </w:tcPr>
          <w:p>
            <w:pPr>
              <w:spacing w:after="0" w:before="0"/>
            </w:pPr>
            <w:r/>
            <w:r>
              <w:rPr>
                <w:rFonts w:ascii="Calibri" w:hAnsi="Calibri"/>
                <w:b w:val="0"/>
                <w:i w:val="0"/>
                <w:color w:val="2B2B2B"/>
                <w:sz w:val="17"/>
              </w:rPr>
              <w:t>The sales reconciler is independent of cash handling and register operation.</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Variance tolerance threshold</w:t>
            </w:r>
          </w:p>
        </w:tc>
        <w:tc>
          <w:tcPr>
            <w:tcW w:type="dxa" w:w="6264"/>
            <w:vAlign w:val="center"/>
          </w:tcPr>
          <w:p>
            <w:pPr>
              <w:spacing w:after="0" w:before="0"/>
            </w:pPr>
            <w:r/>
            <w:r>
              <w:rPr>
                <w:rFonts w:ascii="Calibri" w:hAnsi="Calibri"/>
                <w:b w:val="0"/>
                <w:i w:val="0"/>
                <w:color w:val="2B2B2B"/>
                <w:sz w:val="17"/>
              </w:rPr>
              <w:t>The dollar or percentage tolerance for routine variances is a management decision.</w:t>
            </w:r>
          </w:p>
        </w:tc>
        <w:tc>
          <w:tcPr>
            <w:tcW w:type="dxa" w:w="1008"/>
            <w:vAlign w:val="center"/>
          </w:tcPr>
          <w:p>
            <w:pPr>
              <w:spacing w:after="0" w:before="0"/>
            </w:pPr>
            <w:r/>
            <w:r>
              <w:rPr>
                <w:rFonts w:ascii="Calibri" w:hAnsi="Calibri"/>
                <w:b w:val="0"/>
                <w:i w:val="0"/>
                <w:color w:val="2B2B2B"/>
                <w:sz w:val="17"/>
              </w:rPr>
              <w:t>OP</w:t>
            </w:r>
          </w:p>
        </w:tc>
      </w:tr>
    </w:tbl>
    <w:p>
      <w:pPr>
        <w:spacing w:after="80"/>
      </w:pPr>
      <w:r>
        <w:rPr>
          <w:rFonts w:ascii="Calibri" w:hAnsi="Calibri"/>
          <w:i/>
          <w:color w:val="707070"/>
          <w:sz w:val="17"/>
        </w:rPr>
        <w:t>Record-retention periods under applicable state cannabis regulations should be confirmed with cannabis counsel; pending that confirmation, this SOP applies a minimum seven-year retention consistent with accounting and tax practice. 280E tax treatment of revenue and costs is a tax position for the engaged CPA and is outside this SOP.</w:t>
      </w:r>
    </w:p>
    <w:p>
      <w:pPr>
        <w:spacing w:before="240" w:after="100"/>
        <w:pBdr>
          <w:bottom w:val="single" w:sz="10" w:space="3" w:color="D8C7D1"/>
        </w:pBdr>
      </w:pPr>
      <w:r>
        <w:rPr>
          <w:rFonts w:ascii="Calibri" w:hAnsi="Calibri"/>
          <w:b/>
          <w:color w:val="5A2A4D"/>
          <w:sz w:val="23"/>
          <w:spacing w:val="14"/>
        </w:rPr>
        <w:t>8. Records &amp; Retention</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3384"/>
            <w:shd w:val="clear" w:color="auto" w:fill="5A2A4D"/>
          </w:tcPr>
          <w:p>
            <w:pPr>
              <w:spacing w:after="0" w:before="0"/>
            </w:pPr>
            <w:r/>
            <w:r>
              <w:rPr>
                <w:rFonts w:ascii="Calibri" w:hAnsi="Calibri"/>
                <w:b/>
                <w:i w:val="0"/>
                <w:color w:val="FFFFFF"/>
                <w:sz w:val="16"/>
              </w:rPr>
              <w:t>Record</w:t>
            </w:r>
          </w:p>
        </w:tc>
        <w:tc>
          <w:tcPr>
            <w:tcW w:type="dxa" w:w="3096"/>
            <w:shd w:val="clear" w:color="auto" w:fill="5A2A4D"/>
          </w:tcPr>
          <w:p>
            <w:pPr>
              <w:spacing w:after="0" w:before="0"/>
            </w:pPr>
            <w:r/>
            <w:r>
              <w:rPr>
                <w:rFonts w:ascii="Calibri" w:hAnsi="Calibri"/>
                <w:b/>
                <w:i w:val="0"/>
                <w:color w:val="FFFFFF"/>
                <w:sz w:val="16"/>
              </w:rPr>
              <w:t>Location (document management system)</w:t>
            </w:r>
          </w:p>
        </w:tc>
        <w:tc>
          <w:tcPr>
            <w:tcW w:type="dxa" w:w="2880"/>
            <w:shd w:val="clear" w:color="auto" w:fill="5A2A4D"/>
          </w:tcPr>
          <w:p>
            <w:pPr>
              <w:spacing w:after="0" w:before="0"/>
            </w:pPr>
            <w:r/>
            <w:r>
              <w:rPr>
                <w:rFonts w:ascii="Calibri" w:hAnsi="Calibri"/>
                <w:b/>
                <w:i w:val="0"/>
                <w:color w:val="FFFFFF"/>
                <w:sz w:val="16"/>
              </w:rPr>
              <w:t>Retention</w:t>
            </w:r>
          </w:p>
        </w:tc>
      </w:tr>
      <w:tr>
        <w:tc>
          <w:tcPr>
            <w:tcW w:type="dxa" w:w="3384"/>
            <w:vAlign w:val="center"/>
          </w:tcPr>
          <w:p>
            <w:pPr>
              <w:spacing w:after="0" w:before="0"/>
            </w:pPr>
            <w:r/>
            <w:r>
              <w:rPr>
                <w:rFonts w:ascii="Calibri" w:hAnsi="Calibri"/>
                <w:b/>
                <w:i w:val="0"/>
                <w:color w:val="5A2A4D"/>
                <w:sz w:val="17"/>
              </w:rPr>
              <w:t>POS system Daily Sales Summaries</w:t>
            </w:r>
          </w:p>
        </w:tc>
        <w:tc>
          <w:tcPr>
            <w:tcW w:type="dxa" w:w="3096"/>
            <w:vAlign w:val="center"/>
          </w:tcPr>
          <w:p>
            <w:pPr>
              <w:spacing w:after="0" w:before="0"/>
            </w:pPr>
            <w:r/>
            <w:r>
              <w:rPr>
                <w:rFonts w:ascii="Calibri" w:hAnsi="Calibri"/>
                <w:b w:val="0"/>
                <w:i w:val="0"/>
                <w:color w:val="2B2B2B"/>
                <w:sz w:val="17"/>
              </w:rPr>
              <w:t>09_Sales &amp; POS / 01_Daily Sales Reports</w:t>
            </w:r>
          </w:p>
        </w:tc>
        <w:tc>
          <w:tcPr>
            <w:tcW w:type="dxa" w:w="2880"/>
            <w:vAlign w:val="center"/>
          </w:tcPr>
          <w:p>
            <w:pPr>
              <w:spacing w:after="0" w:before="0"/>
            </w:pPr>
            <w:r/>
            <w:r>
              <w:rPr>
                <w:rFonts w:ascii="Calibri" w:hAnsi="Calibri"/>
                <w:b w:val="0"/>
                <w:i w:val="0"/>
                <w:color w:val="2B2B2B"/>
                <w:sz w:val="17"/>
              </w:rPr>
              <w:t>Min. 7 years; confirm state retention requirements with counsel</w:t>
            </w:r>
          </w:p>
        </w:tc>
      </w:tr>
      <w:tr>
        <w:tc>
          <w:tcPr>
            <w:tcW w:type="dxa" w:w="3384"/>
            <w:vAlign w:val="center"/>
          </w:tcPr>
          <w:p>
            <w:pPr>
              <w:spacing w:after="0" w:before="0"/>
            </w:pPr>
            <w:r/>
            <w:r>
              <w:rPr>
                <w:rFonts w:ascii="Calibri" w:hAnsi="Calibri"/>
                <w:b/>
                <w:i w:val="0"/>
                <w:color w:val="5A2A4D"/>
                <w:sz w:val="17"/>
              </w:rPr>
              <w:t>Daily reconciliation worksheets</w:t>
            </w:r>
          </w:p>
        </w:tc>
        <w:tc>
          <w:tcPr>
            <w:tcW w:type="dxa" w:w="3096"/>
            <w:vAlign w:val="center"/>
          </w:tcPr>
          <w:p>
            <w:pPr>
              <w:spacing w:after="0" w:before="0"/>
            </w:pPr>
            <w:r/>
            <w:r>
              <w:rPr>
                <w:rFonts w:ascii="Calibri" w:hAnsi="Calibri"/>
                <w:b w:val="0"/>
                <w:i w:val="0"/>
                <w:color w:val="2B2B2B"/>
                <w:sz w:val="17"/>
              </w:rPr>
              <w:t>09_Sales &amp; POS / 02_Daily Sales Reconciliation</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Sales Reconciliation Variance Log</w:t>
            </w:r>
          </w:p>
        </w:tc>
        <w:tc>
          <w:tcPr>
            <w:tcW w:type="dxa" w:w="3096"/>
            <w:vAlign w:val="center"/>
          </w:tcPr>
          <w:p>
            <w:pPr>
              <w:spacing w:after="0" w:before="0"/>
            </w:pPr>
            <w:r/>
            <w:r>
              <w:rPr>
                <w:rFonts w:ascii="Calibri" w:hAnsi="Calibri"/>
                <w:b w:val="0"/>
                <w:i w:val="0"/>
                <w:color w:val="2B2B2B"/>
                <w:sz w:val="17"/>
              </w:rPr>
              <w:t>09_Sales &amp; POS / 02_Daily Sales Reconciliation</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Sales journal-entry support</w:t>
            </w:r>
          </w:p>
        </w:tc>
        <w:tc>
          <w:tcPr>
            <w:tcW w:type="dxa" w:w="3096"/>
            <w:vAlign w:val="center"/>
          </w:tcPr>
          <w:p>
            <w:pPr>
              <w:spacing w:after="0" w:before="0"/>
            </w:pPr>
            <w:r/>
            <w:r>
              <w:rPr>
                <w:rFonts w:ascii="Calibri" w:hAnsi="Calibri"/>
                <w:b w:val="0"/>
                <w:i w:val="0"/>
                <w:color w:val="2B2B2B"/>
                <w:sz w:val="17"/>
              </w:rPr>
              <w:t>04_Accounting / 04_Journal Entries</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Processor settlement &amp; deposit records</w:t>
            </w:r>
          </w:p>
        </w:tc>
        <w:tc>
          <w:tcPr>
            <w:tcW w:type="dxa" w:w="3096"/>
            <w:vAlign w:val="center"/>
          </w:tcPr>
          <w:p>
            <w:pPr>
              <w:spacing w:after="0" w:before="0"/>
            </w:pPr>
            <w:r/>
            <w:r>
              <w:rPr>
                <w:rFonts w:ascii="Calibri" w:hAnsi="Calibri"/>
                <w:b w:val="0"/>
                <w:i w:val="0"/>
                <w:color w:val="2B2B2B"/>
                <w:sz w:val="17"/>
              </w:rPr>
              <w:t>09_Sales &amp; POS / 03_POS system Exports &amp; Backups</w:t>
            </w:r>
          </w:p>
        </w:tc>
        <w:tc>
          <w:tcPr>
            <w:tcW w:type="dxa" w:w="2880"/>
            <w:vAlign w:val="center"/>
          </w:tcPr>
          <w:p>
            <w:pPr>
              <w:spacing w:after="0" w:before="0"/>
            </w:pPr>
            <w:r/>
            <w:r>
              <w:rPr>
                <w:rFonts w:ascii="Calibri" w:hAnsi="Calibri"/>
                <w:b w:val="0"/>
                <w:i w:val="0"/>
                <w:color w:val="2B2B2B"/>
                <w:sz w:val="17"/>
              </w:rPr>
              <w:t>Min. 7 years; confirm with counsel</w:t>
            </w:r>
          </w:p>
        </w:tc>
      </w:tr>
    </w:tbl>
    <w:p>
      <w:pPr>
        <w:spacing w:before="240" w:after="100"/>
        <w:pBdr>
          <w:bottom w:val="single" w:sz="10" w:space="3" w:color="D8C7D1"/>
        </w:pBdr>
      </w:pPr>
      <w:r>
        <w:rPr>
          <w:rFonts w:ascii="Calibri" w:hAnsi="Calibri"/>
          <w:b/>
          <w:color w:val="5A2A4D"/>
          <w:sz w:val="23"/>
          <w:spacing w:val="14"/>
        </w:rPr>
        <w:t>9. Exceptions &amp; Escalation</w:t>
      </w:r>
    </w:p>
    <w:p>
      <w:pPr>
        <w:pStyle w:val="ListBullet"/>
        <w:spacing w:after="80"/>
      </w:pPr>
      <w:r>
        <w:rPr>
          <w:rFonts w:ascii="Calibri" w:hAnsi="Calibri"/>
          <w:b w:val="0"/>
          <w:color w:val="2B2B2B"/>
          <w:sz w:val="19"/>
        </w:rPr>
        <w:t>A business day that cannot be fully reconciled is escalated to Controller before the close of the next business day.</w:t>
      </w:r>
    </w:p>
    <w:p>
      <w:pPr>
        <w:pStyle w:val="ListBullet"/>
        <w:spacing w:after="80"/>
      </w:pPr>
      <w:r>
        <w:rPr>
          <w:rFonts w:ascii="Calibri" w:hAnsi="Calibri"/>
          <w:b w:val="0"/>
          <w:color w:val="2B2B2B"/>
          <w:sz w:val="19"/>
        </w:rPr>
        <w:t>Variances above the established tolerance are escalated to Controller and management, with the probable cause documented on the Variance Log.</w:t>
      </w:r>
    </w:p>
    <w:p>
      <w:pPr>
        <w:pStyle w:val="ListBullet"/>
        <w:spacing w:after="80"/>
      </w:pPr>
      <w:r>
        <w:rPr>
          <w:rFonts w:ascii="Calibri" w:hAnsi="Calibri"/>
          <w:b w:val="0"/>
          <w:color w:val="2B2B2B"/>
          <w:sz w:val="19"/>
        </w:rPr>
        <w:t>A POS system-to-track-and-trace system sales difference that suggests product is unaccounted for is escalated immediately to the Inventory Lead and Controller and handled under SOP 11, including its discrepancy and theft/diversion provisions.</w:t>
      </w:r>
    </w:p>
    <w:p>
      <w:pPr>
        <w:pStyle w:val="ListBullet"/>
        <w:spacing w:after="80"/>
      </w:pPr>
      <w:r>
        <w:rPr>
          <w:rFonts w:ascii="Calibri" w:hAnsi="Calibri"/>
          <w:b w:val="0"/>
          <w:color w:val="2B2B2B"/>
          <w:sz w:val="19"/>
        </w:rPr>
        <w:t>Indications of register manipulation or revenue misstatement are escalated to Owner and Controller.</w:t>
      </w:r>
    </w:p>
    <w:p>
      <w:pPr>
        <w:spacing w:before="240" w:after="100"/>
        <w:pBdr>
          <w:bottom w:val="single" w:sz="10" w:space="3" w:color="D8C7D1"/>
        </w:pBdr>
      </w:pPr>
      <w:r>
        <w:rPr>
          <w:rFonts w:ascii="Calibri" w:hAnsi="Calibri"/>
          <w:b/>
          <w:color w:val="5A2A4D"/>
          <w:sz w:val="23"/>
          <w:spacing w:val="14"/>
        </w:rPr>
        <w:t>10. Revision History</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440"/>
            <w:shd w:val="clear" w:color="auto" w:fill="5A2A4D"/>
          </w:tcPr>
          <w:p>
            <w:pPr>
              <w:spacing w:after="0" w:before="0"/>
            </w:pPr>
            <w:r/>
            <w:r>
              <w:rPr>
                <w:rFonts w:ascii="Calibri" w:hAnsi="Calibri"/>
                <w:b/>
                <w:i w:val="0"/>
                <w:color w:val="FFFFFF"/>
                <w:sz w:val="16"/>
              </w:rPr>
              <w:t>Version</w:t>
            </w:r>
          </w:p>
        </w:tc>
        <w:tc>
          <w:tcPr>
            <w:tcW w:type="dxa" w:w="1656"/>
            <w:shd w:val="clear" w:color="auto" w:fill="5A2A4D"/>
          </w:tcPr>
          <w:p>
            <w:pPr>
              <w:spacing w:after="0" w:before="0"/>
            </w:pPr>
            <w:r/>
            <w:r>
              <w:rPr>
                <w:rFonts w:ascii="Calibri" w:hAnsi="Calibri"/>
                <w:b/>
                <w:i w:val="0"/>
                <w:color w:val="FFFFFF"/>
                <w:sz w:val="16"/>
              </w:rPr>
              <w:t>Date</w:t>
            </w:r>
          </w:p>
        </w:tc>
        <w:tc>
          <w:tcPr>
            <w:tcW w:type="dxa" w:w="2376"/>
            <w:shd w:val="clear" w:color="auto" w:fill="5A2A4D"/>
          </w:tcPr>
          <w:p>
            <w:pPr>
              <w:spacing w:after="0" w:before="0"/>
            </w:pPr>
            <w:r/>
            <w:r>
              <w:rPr>
                <w:rFonts w:ascii="Calibri" w:hAnsi="Calibri"/>
                <w:b/>
                <w:i w:val="0"/>
                <w:color w:val="FFFFFF"/>
                <w:sz w:val="16"/>
              </w:rPr>
              <w:t>Author</w:t>
            </w:r>
          </w:p>
        </w:tc>
        <w:tc>
          <w:tcPr>
            <w:tcW w:type="dxa" w:w="3888"/>
            <w:shd w:val="clear" w:color="auto" w:fill="5A2A4D"/>
          </w:tcPr>
          <w:p>
            <w:pPr>
              <w:spacing w:after="0" w:before="0"/>
            </w:pPr>
            <w:r/>
            <w:r>
              <w:rPr>
                <w:rFonts w:ascii="Calibri" w:hAnsi="Calibri"/>
                <w:b/>
                <w:i w:val="0"/>
                <w:color w:val="FFFFFF"/>
                <w:sz w:val="16"/>
              </w:rPr>
              <w:t>Change</w:t>
            </w:r>
          </w:p>
        </w:tc>
      </w:tr>
      <w:tr>
        <w:tc>
          <w:tcPr>
            <w:tcW w:type="dxa" w:w="1440"/>
            <w:vAlign w:val="center"/>
          </w:tcPr>
          <w:p>
            <w:pPr>
              <w:spacing w:after="0" w:before="0"/>
            </w:pPr>
            <w:r/>
            <w:r>
              <w:rPr>
                <w:rFonts w:ascii="Calibri" w:hAnsi="Calibri"/>
                <w:b/>
                <w:i w:val="0"/>
                <w:color w:val="5A2A4D"/>
                <w:sz w:val="17"/>
              </w:rPr>
              <w:t>Sample v1.0</w:t>
            </w:r>
          </w:p>
        </w:tc>
        <w:tc>
          <w:tcPr>
            <w:tcW w:type="dxa" w:w="1656"/>
            <w:vAlign w:val="center"/>
          </w:tcPr>
          <w:p>
            <w:pPr>
              <w:spacing w:after="0" w:before="0"/>
            </w:pPr>
            <w:r/>
            <w:r>
              <w:rPr>
                <w:rFonts w:ascii="Calibri" w:hAnsi="Calibri"/>
                <w:b w:val="0"/>
                <w:i w:val="0"/>
                <w:color w:val="2B2B2B"/>
                <w:sz w:val="17"/>
              </w:rPr>
              <w:t>2026-05-21</w:t>
            </w:r>
          </w:p>
        </w:tc>
        <w:tc>
          <w:tcPr>
            <w:tcW w:type="dxa" w:w="2376"/>
            <w:vAlign w:val="center"/>
          </w:tcPr>
          <w:p>
            <w:pPr>
              <w:spacing w:after="0" w:before="0"/>
            </w:pPr>
            <w:r/>
            <w:r>
              <w:rPr>
                <w:rFonts w:ascii="Calibri" w:hAnsi="Calibri"/>
                <w:b w:val="0"/>
                <w:i w:val="0"/>
                <w:color w:val="2B2B2B"/>
                <w:sz w:val="17"/>
              </w:rPr>
              <w:t>Controller</w:t>
            </w:r>
          </w:p>
        </w:tc>
        <w:tc>
          <w:tcPr>
            <w:tcW w:type="dxa" w:w="3888"/>
            <w:vAlign w:val="center"/>
          </w:tcPr>
          <w:p>
            <w:pPr>
              <w:spacing w:after="0" w:before="0"/>
            </w:pPr>
            <w:r/>
            <w:r>
              <w:rPr>
                <w:rFonts w:ascii="Calibri" w:hAnsi="Calibri"/>
                <w:b w:val="0"/>
                <w:i w:val="0"/>
                <w:color w:val="2B2B2B"/>
                <w:sz w:val="17"/>
              </w:rPr>
              <w:t>Training example for the Financial Foundations cohort.</w:t>
            </w:r>
          </w:p>
        </w:tc>
      </w:tr>
    </w:tbl>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Banking &amp; Deposit Controls</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04 — Banking &amp; Deposit Controls</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Accounting (Bookkeeper / In-House Lead) with Owner approval</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governs its bank accounts, transports and deposits cash, and controls access to banking platforms. Cannabis-licensed businesses face restricted banking access nationally, which makes a tightly controlled banking footprint a foundational element of internal control.</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all Company operating, payroll, tax-reserve, and merchant-settlement bank accounts; to all deposits originating from business operations and to all wire, ACH, and bill-pay activity initiated through the banking platforms. It complements SOP 01 (Cash Handling) at the business side and SOP 10 (Bank Reconciliation) at the accounting side.</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Cannabis-Friendly Financial Institution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bank or credit union with a documented Bank Secrecy Act compliance program for marijuana-related businesses (MRBs), accepting deposits from licensed cannabis operators.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Operating Account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primary checking account that funds vendor payments, payroll, and operating expenses.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Tax Reserve Account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segregated savings account that holds funds reserved for federal income tax, state income tax, sales/cannabis tax, and 280E-related liabilities.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Authorized Signer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An individual the financial institution has on file with authority to release funds, sign checks, or approve wires within stated thresholds.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Dual Control</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control requiring two authorized individuals to participate in an action — for example, one person initiates a wire and a second independently approves it.</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the opening or closing of bank accounts; approves changes to the authorized signer list and to platform user access; approves wires above defined thresholds.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 (the outsourced accounting provider / in-house lead)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Initiates payments and transfers; prepares deposits; reconciles bank activity to the general ledger; maintains the banking platform user list.</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Vault Custodian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Prepares cash for deposit per SOP 01; participates in dual-control deposit preparation.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 (Fractional CFO)</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and approves banking structure changes, performs independent periodic review of high-dollar activity, and confirms the tax-reserve funding rhythm.</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Bank Account Structure</w:t>
      </w:r>
    </w:p>
    <w:p>
      <w:pPr>
        <w:pStyle w:val="ListBullet"/>
        <w:spacing w:before="20" w:after="40"/>
      </w:pPr>
      <w:r>
        <w:rPr>
          <w:rFonts w:ascii="Calibri" w:hAnsi="Calibri"/>
          <w:b w:val="0"/>
          <w:color w:val="2B2B2B"/>
          <w:sz w:val="19"/>
        </w:rPr>
        <w:t>Company maintains, at minimum, an operating account, a payroll account, and a tax-reserve account at a cannabis-friendly financial institution.</w:t>
      </w:r>
    </w:p>
    <w:p>
      <w:pPr>
        <w:pStyle w:val="ListBullet"/>
        <w:spacing w:before="20" w:after="40"/>
      </w:pPr>
      <w:r>
        <w:rPr>
          <w:rFonts w:ascii="Calibri" w:hAnsi="Calibri"/>
          <w:b w:val="0"/>
          <w:color w:val="2B2B2B"/>
          <w:sz w:val="19"/>
        </w:rPr>
        <w:t>Each account has a documented purpose; intermingling of cash flows between accounts requires a documented transfer with a memo and supporting calculation.</w:t>
      </w:r>
    </w:p>
    <w:p>
      <w:pPr>
        <w:pStyle w:val="ListBullet"/>
        <w:spacing w:before="20" w:after="40"/>
      </w:pPr>
      <w:r>
        <w:rPr>
          <w:rFonts w:ascii="Calibri" w:hAnsi="Calibri"/>
          <w:b w:val="0"/>
          <w:color w:val="2B2B2B"/>
          <w:sz w:val="19"/>
        </w:rPr>
        <w:t>All new accounts are opened only after Owner approval and after Controller confirms the institution accepts MRB deposits.</w:t>
      </w:r>
    </w:p>
    <w:p>
      <w:pPr>
        <w:spacing w:before="120" w:after="60"/>
      </w:pPr>
      <w:r>
        <w:rPr>
          <w:rFonts w:ascii="Calibri" w:hAnsi="Calibri"/>
          <w:b/>
          <w:color w:val="5A2A4D"/>
          <w:sz w:val="20"/>
        </w:rPr>
        <w:t>B. Deposit Preparation &amp; Transport</w:t>
      </w:r>
    </w:p>
    <w:p>
      <w:pPr>
        <w:pStyle w:val="ListBullet"/>
        <w:spacing w:before="20" w:after="40"/>
      </w:pPr>
      <w:r>
        <w:rPr>
          <w:rFonts w:ascii="Calibri" w:hAnsi="Calibri"/>
          <w:b w:val="0"/>
          <w:color w:val="2B2B2B"/>
          <w:sz w:val="19"/>
        </w:rPr>
        <w:t>Cash for deposit is prepared by the Vault Custodian under dual control per SOP 01, with two signatures on the Deposit Record before transport.</w:t>
      </w:r>
    </w:p>
    <w:p>
      <w:pPr>
        <w:pStyle w:val="ListBullet"/>
        <w:spacing w:before="20" w:after="40"/>
      </w:pPr>
      <w:r>
        <w:rPr>
          <w:rFonts w:ascii="Calibri" w:hAnsi="Calibri"/>
          <w:b w:val="0"/>
          <w:color w:val="2B2B2B"/>
          <w:sz w:val="19"/>
        </w:rPr>
        <w:t>Deposits are transported per the secure transport protocol on a schedule consistent with operational cash levels; deposit-day variation is avoided.</w:t>
      </w:r>
    </w:p>
    <w:p>
      <w:pPr>
        <w:pStyle w:val="ListBullet"/>
        <w:spacing w:before="20" w:after="40"/>
      </w:pPr>
      <w:r>
        <w:rPr>
          <w:rFonts w:ascii="Calibri" w:hAnsi="Calibri"/>
          <w:b w:val="0"/>
          <w:color w:val="2B2B2B"/>
          <w:sz w:val="19"/>
        </w:rPr>
        <w:t>The deposit slip, the bank receipt, and the Deposit Record are filed to document management system within one business day and provided to Accounting for reconciliation under SOP 03 and SOP 10.</w:t>
      </w:r>
    </w:p>
    <w:p>
      <w:pPr>
        <w:spacing w:before="120" w:after="60"/>
      </w:pPr>
      <w:r>
        <w:rPr>
          <w:rFonts w:ascii="Calibri" w:hAnsi="Calibri"/>
          <w:b/>
          <w:color w:val="5A2A4D"/>
          <w:sz w:val="20"/>
        </w:rPr>
        <w:t>C. Wires, ACH, and Electronic Payments</w:t>
      </w:r>
    </w:p>
    <w:p>
      <w:pPr>
        <w:pStyle w:val="ListBullet"/>
        <w:spacing w:before="20" w:after="40"/>
      </w:pPr>
      <w:r>
        <w:rPr>
          <w:rFonts w:ascii="Calibri" w:hAnsi="Calibri"/>
          <w:b w:val="0"/>
          <w:color w:val="2B2B2B"/>
          <w:sz w:val="19"/>
        </w:rPr>
        <w:t>ACH and wire payments require an Approved Payment Run per SOP 05 and an authorized signer to release. The person who enters the payment does not release it.</w:t>
      </w:r>
    </w:p>
    <w:p>
      <w:pPr>
        <w:pStyle w:val="ListBullet"/>
        <w:spacing w:before="20" w:after="40"/>
      </w:pPr>
      <w:r>
        <w:rPr>
          <w:rFonts w:ascii="Calibri" w:hAnsi="Calibri"/>
          <w:b w:val="0"/>
          <w:color w:val="2B2B2B"/>
          <w:sz w:val="19"/>
        </w:rPr>
        <w:t>Wires above a defined threshold require a second authorized signer to approve in the banking platform — dual control on the release.</w:t>
      </w:r>
    </w:p>
    <w:p>
      <w:pPr>
        <w:pStyle w:val="ListBullet"/>
        <w:spacing w:before="20" w:after="40"/>
      </w:pPr>
      <w:r>
        <w:rPr>
          <w:rFonts w:ascii="Calibri" w:hAnsi="Calibri"/>
          <w:b w:val="0"/>
          <w:color w:val="2B2B2B"/>
          <w:sz w:val="19"/>
        </w:rPr>
        <w:t>ACH templates for recurring vendors are set up once, reviewed for accuracy, and locked. Changes to a saved vendor account require Owner re-approval.</w:t>
      </w:r>
    </w:p>
    <w:p>
      <w:pPr>
        <w:spacing w:before="120" w:after="60"/>
      </w:pPr>
      <w:r>
        <w:rPr>
          <w:rFonts w:ascii="Calibri" w:hAnsi="Calibri"/>
          <w:b/>
          <w:color w:val="5A2A4D"/>
          <w:sz w:val="20"/>
        </w:rPr>
        <w:t>D. Banking Platform Access</w:t>
      </w:r>
    </w:p>
    <w:p>
      <w:pPr>
        <w:pStyle w:val="ListBullet"/>
        <w:spacing w:before="20" w:after="40"/>
      </w:pPr>
      <w:r>
        <w:rPr>
          <w:rFonts w:ascii="Calibri" w:hAnsi="Calibri"/>
          <w:b w:val="0"/>
          <w:color w:val="2B2B2B"/>
          <w:sz w:val="19"/>
        </w:rPr>
        <w:t>Each user has a unique login; shared credentials are prohibited.</w:t>
      </w:r>
    </w:p>
    <w:p>
      <w:pPr>
        <w:pStyle w:val="ListBullet"/>
        <w:spacing w:before="20" w:after="40"/>
      </w:pPr>
      <w:r>
        <w:rPr>
          <w:rFonts w:ascii="Calibri" w:hAnsi="Calibri"/>
          <w:b w:val="0"/>
          <w:color w:val="2B2B2B"/>
          <w:sz w:val="19"/>
        </w:rPr>
        <w:t>User roles are scoped to the minimum access needed: view-only for review, initiate for AP processing, approve for authorized signers.</w:t>
      </w:r>
    </w:p>
    <w:p>
      <w:pPr>
        <w:pStyle w:val="ListBullet"/>
        <w:spacing w:before="20" w:after="40"/>
      </w:pPr>
      <w:r>
        <w:rPr>
          <w:rFonts w:ascii="Calibri" w:hAnsi="Calibri"/>
          <w:b w:val="0"/>
          <w:color w:val="2B2B2B"/>
          <w:sz w:val="19"/>
        </w:rPr>
        <w:t>User access is reviewed quarterly by Controller; departures are removed within one business day per SOP 19.</w:t>
      </w:r>
    </w:p>
    <w:p>
      <w:pPr>
        <w:spacing w:before="120" w:after="60"/>
      </w:pPr>
      <w:r>
        <w:rPr>
          <w:rFonts w:ascii="Calibri" w:hAnsi="Calibri"/>
          <w:b/>
          <w:color w:val="5A2A4D"/>
          <w:sz w:val="20"/>
        </w:rPr>
        <w:t>E. Tax Reserve Discipline</w:t>
      </w:r>
    </w:p>
    <w:p>
      <w:pPr>
        <w:pStyle w:val="ListBullet"/>
        <w:spacing w:before="20" w:after="40"/>
      </w:pPr>
      <w:r>
        <w:rPr>
          <w:rFonts w:ascii="Calibri" w:hAnsi="Calibri"/>
          <w:b w:val="0"/>
          <w:color w:val="2B2B2B"/>
          <w:sz w:val="19"/>
        </w:rPr>
        <w:t>On a defined cadence — at minimum monthly — Accounting calculates the tax reserve owed and transfers it from the operating account to the tax-reserve account, with a calculation memo retained.</w:t>
      </w:r>
    </w:p>
    <w:p>
      <w:pPr>
        <w:pStyle w:val="ListBullet"/>
        <w:spacing w:before="20" w:after="40"/>
      </w:pPr>
      <w:r>
        <w:rPr>
          <w:rFonts w:ascii="Calibri" w:hAnsi="Calibri"/>
          <w:b w:val="0"/>
          <w:color w:val="2B2B2B"/>
          <w:sz w:val="19"/>
        </w:rPr>
        <w:t>The tax-reserve account is read-only for daily users; transfers out require Owner approval and are made only against a documented tax payment or filing.</w:t>
      </w:r>
    </w:p>
    <w:p>
      <w:pPr>
        <w:spacing w:before="120" w:after="80"/>
      </w:pPr>
      <w:r>
        <w:rPr>
          <w:rFonts w:ascii="Calibri" w:hAnsi="Calibri"/>
          <w:b w:val="0"/>
          <w:color w:val="707070"/>
          <w:sz w:val="17"/>
        </w:rPr>
        <w:t>The number and naming of bank accounts, the deposit transport cadence, the wire approval thresholds, and the tax-reserve funding percentage are management decisions. Controller will propose initial defaults during implementation.</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Segregation of duties: the person who initiates payments is not the person who releases them; the person who handles deposits is not the person who reconciles the bank account.</w:t>
      </w:r>
    </w:p>
    <w:p>
      <w:pPr>
        <w:pStyle w:val="ListBullet"/>
        <w:spacing w:before="20" w:after="40"/>
      </w:pPr>
      <w:r>
        <w:rPr>
          <w:rFonts w:ascii="Calibri" w:hAnsi="Calibri"/>
          <w:b w:val="0"/>
          <w:color w:val="2B2B2B"/>
          <w:sz w:val="19"/>
        </w:rPr>
        <w:t>Dual control on cash deposit preparation, wire release above threshold, and any change to the authorized signer list.</w:t>
      </w:r>
    </w:p>
    <w:p>
      <w:pPr>
        <w:pStyle w:val="ListBullet"/>
        <w:spacing w:before="20" w:after="40"/>
      </w:pPr>
      <w:r>
        <w:rPr>
          <w:rFonts w:ascii="Calibri" w:hAnsi="Calibri"/>
          <w:b w:val="0"/>
          <w:color w:val="2B2B2B"/>
          <w:sz w:val="19"/>
        </w:rPr>
        <w:t>Bank reconciliations are performed monthly under SOP 10, with Controller independent review.</w:t>
      </w:r>
    </w:p>
    <w:p>
      <w:pPr>
        <w:pStyle w:val="ListBullet"/>
        <w:spacing w:before="20" w:after="40"/>
      </w:pPr>
      <w:r>
        <w:rPr>
          <w:rFonts w:ascii="Calibri" w:hAnsi="Calibri"/>
          <w:b w:val="0"/>
          <w:color w:val="2B2B2B"/>
          <w:sz w:val="19"/>
        </w:rPr>
        <w:t>Banking platform user access is reviewed quarterly and removed within one business day of a departure.</w:t>
      </w:r>
    </w:p>
    <w:p>
      <w:pPr>
        <w:pStyle w:val="ListBullet"/>
        <w:spacing w:before="20" w:after="40"/>
      </w:pPr>
      <w:r>
        <w:rPr>
          <w:rFonts w:ascii="Calibri" w:hAnsi="Calibri"/>
          <w:b w:val="0"/>
          <w:color w:val="2B2B2B"/>
          <w:sz w:val="19"/>
        </w:rPr>
        <w:t>The tax-reserve account is funded on a defined cadence and is treated as restricted cash for cash-flow planning.</w:t>
      </w:r>
    </w:p>
    <w:p>
      <w:pPr>
        <w:pStyle w:val="ListBullet"/>
        <w:spacing w:before="20" w:after="40"/>
      </w:pPr>
      <w:r>
        <w:rPr>
          <w:rFonts w:ascii="Calibri" w:hAnsi="Calibri"/>
          <w:b w:val="0"/>
          <w:color w:val="2B2B2B"/>
          <w:sz w:val="19"/>
        </w:rPr>
        <w:t>Account statements and signed deposit records are filed centrally in document management system (02_Banking) and are part of the monthly close package.</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Banking access for cannabis operators is governed by federal Bank Secrecy Act (BSA) guidance and individual institution policy; applicable state regulations do not prescribe specific banking procedures. Cash-handling, deposit, and security elements that touch the business premises remain subject to applicable state cannabis regulations, Subtitle 17 — confirm with cannabis counsel.</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FinCEN — BSA Guidance on Marijuana-Related Businesses (2014)</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Financial institutions serving MRBs are expected to file Marijuana Limited / Priority / Termination SARs and conduct enhanced due diligence; the operator's cooperation supports the institution's program.</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cannabis regulations (security of premises)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Cash-handling within the business footprint must occur within the alarmed, video-monitored secure area — confirm with counsel of the specific subsection currently in force.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IRC §280E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Cannabis operators are limited on ordinary business deductions; the tax-reserve discipline supports liquidity for materially higher effective tax rates. Confirm calculation with the cannabis CPA.</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Dual control on cash deposit preparation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Two-person verification of cash before transport.</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Segregation between payment initiation and release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Different individuals on either side of the payment cycle.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Quarterly banking platform user 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Periodic confirmation that platform users and authority levels are current.</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Single cannabis-friendly banking institution for primary operating activity</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Reduces banking-relationship risk and simplifies BSA cooperation.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Deposit Records, deposit slips, bank receipts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02_Banking / 02_Deposits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 (accounting/tax); confirm state retention requirements with counsel</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bank statements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02_Banking / 01_Bank Statements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bank reconciliations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02_Banking / 03_Reconciliations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Wire and ACH approval records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02_Banking / 04_Wires &amp; ACH</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Authorized signer changes and platform user reviews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02_Banking / 05_Access &amp; Governance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account + 7 years; confirm with counsel</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A deposit that cannot be reconciled to drawer and drop records (per SOP 01) is escalated to Accounting and Controller before the next banking day.</w:t>
      </w:r>
    </w:p>
    <w:p>
      <w:pPr>
        <w:pStyle w:val="ListBullet"/>
        <w:spacing w:before="20" w:after="40"/>
      </w:pPr>
      <w:r>
        <w:rPr>
          <w:rFonts w:ascii="Calibri" w:hAnsi="Calibri"/>
          <w:b w:val="0"/>
          <w:color w:val="2B2B2B"/>
          <w:sz w:val="19"/>
        </w:rPr>
        <w:t>A wire above threshold that does not receive dual approval is held and escalated to Owner; no payment is released without dual approval.</w:t>
      </w:r>
    </w:p>
    <w:p>
      <w:pPr>
        <w:pStyle w:val="ListBullet"/>
        <w:spacing w:before="20" w:after="40"/>
      </w:pPr>
      <w:r>
        <w:rPr>
          <w:rFonts w:ascii="Calibri" w:hAnsi="Calibri"/>
          <w:b w:val="0"/>
          <w:color w:val="2B2B2B"/>
          <w:sz w:val="19"/>
        </w:rPr>
        <w:t>Any communication from the financial institution indicating account-relationship concerns (account review, SAR follow-up, account closure notice) is escalated to Owner and Controller the same business day.</w:t>
      </w:r>
    </w:p>
    <w:p>
      <w:pPr>
        <w:pStyle w:val="ListBullet"/>
        <w:spacing w:before="20" w:after="40"/>
      </w:pPr>
      <w:r>
        <w:rPr>
          <w:rFonts w:ascii="Calibri" w:hAnsi="Calibri"/>
          <w:b w:val="0"/>
          <w:color w:val="2B2B2B"/>
          <w:sz w:val="19"/>
        </w:rPr>
        <w:t>Suspected unauthorized banking platform activity is escalated to Owner and Controller immediately; affected user access is suspended pending review.</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40"/>
      </w:pPr>
      <w:r>
        <w:rPr>
          <w:rFonts w:ascii="Calibri" w:hAnsi="Calibri"/>
          <w:b/>
          <w:color w:val="707070"/>
          <w:sz w:val="16"/>
          <w:spacing w:val="30"/>
        </w:rPr>
        <w:t>FINANCIAL FOUNDATIONS · STANDARD OPERATING PROCEDURE EXAMPLE — FOR TRAINING USE</w:t>
      </w:r>
    </w:p>
    <w:p>
      <w:pPr>
        <w:spacing w:after="20"/>
      </w:pPr>
      <w:r>
        <w:rPr>
          <w:rFonts w:ascii="Calibri" w:hAnsi="Calibri"/>
          <w:b/>
          <w:color w:val="5A2A4D"/>
          <w:sz w:val="48"/>
        </w:rPr>
        <w:t>Accounts Payable Workflow</w:t>
      </w:r>
    </w:p>
    <w:p>
      <w:pPr>
        <w:spacing w:after="120"/>
        <w:pBdr>
          <w:bottom w:val="single" w:sz="10" w:space="3" w:color="D8C7D1"/>
        </w:pBdr>
      </w:pPr>
      <w:r>
        <w:rPr>
          <w:rFonts w:ascii="Calibri" w:hAnsi="Calibri"/>
          <w:color w:val="2B2B2B"/>
          <w:sz w:val="24"/>
        </w:rPr>
        <w:t>Priority-1 Standard Operating Procedure · the Company</w:t>
      </w:r>
    </w:p>
    <w:p>
      <w:pPr>
        <w:spacing w:after="180"/>
      </w:pPr>
      <w:r>
        <w:rPr>
          <w:rFonts w:ascii="Calibri" w:hAnsi="Calibri"/>
          <w:i/>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800"/>
            <w:shd w:val="clear" w:color="auto" w:fill="EFE3EA"/>
          </w:tcPr>
          <w:p>
            <w:pPr>
              <w:spacing w:after="0" w:before="0"/>
            </w:pPr>
            <w:r/>
            <w:r>
              <w:rPr>
                <w:rFonts w:ascii="Calibri" w:hAnsi="Calibri"/>
                <w:b/>
                <w:i w:val="0"/>
                <w:color w:val="5A2A4D"/>
                <w:sz w:val="18"/>
              </w:rPr>
              <w:t>SOP ID</w:t>
            </w:r>
          </w:p>
        </w:tc>
        <w:tc>
          <w:tcPr>
            <w:tcW w:type="dxa" w:w="2880"/>
          </w:tcPr>
          <w:p>
            <w:pPr>
              <w:spacing w:after="0" w:before="0"/>
            </w:pPr>
            <w:r>
              <w:t xml:space="preserve">SOP </w:t>
            </w:r>
            <w:r>
              <w:rPr>
                <w:rFonts w:ascii="Calibri" w:hAnsi="Calibri"/>
                <w:b w:val="0"/>
                <w:i w:val="0"/>
                <w:color w:val="2B2B2B"/>
                <w:sz w:val="18"/>
              </w:rPr>
              <w:t>05 — Accounts Payable Workflow</w:t>
            </w:r>
          </w:p>
        </w:tc>
        <w:tc>
          <w:tcPr>
            <w:tcW w:type="dxa" w:w="1800"/>
            <w:shd w:val="clear" w:color="auto" w:fill="EFE3EA"/>
          </w:tcPr>
          <w:p>
            <w:pPr>
              <w:spacing w:after="0" w:before="0"/>
            </w:pPr>
            <w:r/>
            <w:r>
              <w:rPr>
                <w:rFonts w:ascii="Calibri" w:hAnsi="Calibri"/>
                <w:b/>
                <w:i w:val="0"/>
                <w:color w:val="5A2A4D"/>
                <w:sz w:val="18"/>
              </w:rPr>
              <w:t>Version</w:t>
            </w:r>
          </w:p>
        </w:tc>
        <w:tc>
          <w:tcPr>
            <w:tcW w:type="dxa" w:w="2880"/>
          </w:tcPr>
          <w:p>
            <w:pPr>
              <w:spacing w:after="0" w:before="0"/>
            </w:pPr>
            <w:r/>
            <w:r>
              <w:rPr>
                <w:rFonts w:ascii="Calibri" w:hAnsi="Calibri"/>
                <w:b w:val="0"/>
                <w:i w:val="0"/>
                <w:color w:val="2B2B2B"/>
                <w:sz w:val="18"/>
              </w:rPr>
              <w:t>Sample v1.0</w:t>
            </w:r>
          </w:p>
        </w:tc>
      </w:tr>
      <w:tr>
        <w:tc>
          <w:tcPr>
            <w:tcW w:type="dxa" w:w="1800"/>
            <w:shd w:val="clear" w:color="auto" w:fill="EFE3EA"/>
          </w:tcPr>
          <w:p>
            <w:pPr>
              <w:spacing w:after="0" w:before="0"/>
            </w:pPr>
            <w:r/>
            <w:r>
              <w:rPr>
                <w:rFonts w:ascii="Calibri" w:hAnsi="Calibri"/>
                <w:b/>
                <w:i w:val="0"/>
                <w:color w:val="5A2A4D"/>
                <w:sz w:val="18"/>
              </w:rPr>
              <w:t>Process Owner</w:t>
            </w:r>
          </w:p>
        </w:tc>
        <w:tc>
          <w:tcPr>
            <w:tcW w:type="dxa" w:w="2880"/>
          </w:tcPr>
          <w:p>
            <w:pPr>
              <w:spacing w:after="0" w:before="0"/>
            </w:pPr>
            <w:r/>
            <w:r>
              <w:rPr>
                <w:rFonts w:ascii="Calibri" w:hAnsi="Calibri"/>
                <w:b w:val="0"/>
                <w:i w:val="0"/>
                <w:color w:val="2B2B2B"/>
                <w:sz w:val="18"/>
              </w:rPr>
              <w:t>Accounting (Bookkeeper / In-House Lead)</w:t>
            </w:r>
          </w:p>
        </w:tc>
        <w:tc>
          <w:tcPr>
            <w:tcW w:type="dxa" w:w="1800"/>
            <w:shd w:val="clear" w:color="auto" w:fill="EFE3EA"/>
          </w:tcPr>
          <w:p>
            <w:pPr>
              <w:spacing w:after="0" w:before="0"/>
            </w:pPr>
            <w:r/>
            <w:r>
              <w:rPr>
                <w:rFonts w:ascii="Calibri" w:hAnsi="Calibri"/>
                <w:b/>
                <w:i w:val="0"/>
                <w:color w:val="5A2A4D"/>
                <w:sz w:val="18"/>
              </w:rPr>
              <w:t>Effective Date</w:t>
            </w:r>
          </w:p>
        </w:tc>
        <w:tc>
          <w:tcPr>
            <w:tcW w:type="dxa" w:w="2880"/>
          </w:tcPr>
          <w:p>
            <w:pPr>
              <w:spacing w:after="0" w:before="0"/>
            </w:pPr>
            <w:r/>
            <w:r>
              <w:rPr>
                <w:rFonts w:ascii="Calibri" w:hAnsi="Calibri"/>
                <w:b w:val="0"/>
                <w:i w:val="0"/>
                <w:color w:val="2B2B2B"/>
                <w:sz w:val="18"/>
              </w:rPr>
              <w:t>Sample — training use</w:t>
            </w:r>
          </w:p>
        </w:tc>
      </w:tr>
      <w:tr>
        <w:tc>
          <w:tcPr>
            <w:tcW w:type="dxa" w:w="1800"/>
            <w:shd w:val="clear" w:color="auto" w:fill="EFE3EA"/>
          </w:tcPr>
          <w:p>
            <w:pPr>
              <w:spacing w:after="0" w:before="0"/>
            </w:pPr>
            <w:r/>
            <w:r>
              <w:rPr>
                <w:rFonts w:ascii="Calibri" w:hAnsi="Calibri"/>
                <w:b/>
                <w:i w:val="0"/>
                <w:color w:val="5A2A4D"/>
                <w:sz w:val="18"/>
              </w:rPr>
              <w:t>Prepared By</w:t>
            </w:r>
          </w:p>
        </w:tc>
        <w:tc>
          <w:tcPr>
            <w:tcW w:type="dxa" w:w="2880"/>
          </w:tcPr>
          <w:p>
            <w:pPr>
              <w:spacing w:after="0" w:before="0"/>
            </w:pPr>
            <w:r/>
            <w:r>
              <w:rPr>
                <w:rFonts w:ascii="Calibri" w:hAnsi="Calibri"/>
                <w:b w:val="0"/>
                <w:i w:val="0"/>
                <w:color w:val="2B2B2B"/>
                <w:sz w:val="18"/>
              </w:rPr>
              <w:t>Controller</w:t>
            </w:r>
          </w:p>
        </w:tc>
        <w:tc>
          <w:tcPr>
            <w:tcW w:type="dxa" w:w="1800"/>
            <w:shd w:val="clear" w:color="auto" w:fill="EFE3EA"/>
          </w:tcPr>
          <w:p>
            <w:pPr>
              <w:spacing w:after="0" w:before="0"/>
            </w:pPr>
            <w:r/>
            <w:r>
              <w:rPr>
                <w:rFonts w:ascii="Calibri" w:hAnsi="Calibri"/>
                <w:b/>
                <w:i w:val="0"/>
                <w:color w:val="5A2A4D"/>
                <w:sz w:val="18"/>
              </w:rPr>
              <w:t>Review Cadence</w:t>
            </w:r>
          </w:p>
        </w:tc>
        <w:tc>
          <w:tcPr>
            <w:tcW w:type="dxa" w:w="2880"/>
          </w:tcPr>
          <w:p>
            <w:pPr>
              <w:spacing w:after="0" w:before="0"/>
            </w:pPr>
            <w:r/>
            <w:r>
              <w:rPr>
                <w:rFonts w:ascii="Calibri" w:hAnsi="Calibri"/>
                <w:b w:val="0"/>
                <w:i w:val="0"/>
                <w:color w:val="2B2B2B"/>
                <w:sz w:val="18"/>
              </w:rPr>
              <w:t>Annual, or on process change</w:t>
            </w:r>
          </w:p>
        </w:tc>
      </w:tr>
    </w:tbl>
    <w:p>
      <w:pPr>
        <w:spacing w:before="240" w:after="100"/>
        <w:pBdr>
          <w:bottom w:val="single" w:sz="10" w:space="3" w:color="D8C7D1"/>
        </w:pBdr>
      </w:pPr>
      <w:r>
        <w:rPr>
          <w:rFonts w:ascii="Calibri" w:hAnsi="Calibri"/>
          <w:b/>
          <w:color w:val="5A2A4D"/>
          <w:sz w:val="23"/>
          <w:spacing w:val="14"/>
        </w:rPr>
        <w:t>1. Purpose</w:t>
      </w:r>
    </w:p>
    <w:p>
      <w:pPr>
        <w:spacing w:after="120"/>
      </w:pPr>
      <w:r>
        <w:rPr>
          <w:rFonts w:ascii="Calibri" w:hAnsi="Calibri"/>
          <w:i w:val="0"/>
          <w:color w:val="2B2B2B"/>
          <w:sz w:val="21"/>
        </w:rPr>
        <w:t>This procedure establishes how Company receives, verifies, approves, and pays vendor invoices. A disciplined accounts payable workflow ensures the business pays only valid, approved obligations, at the right amount, once; that invoices are matched to what was ordered and received; and that payments are properly authorized and recorded. It works alongside vendor onboarding and purchasing approvals to close the loop from purchase to payment.</w:t>
      </w:r>
    </w:p>
    <w:p>
      <w:pPr>
        <w:spacing w:before="240" w:after="100"/>
        <w:pBdr>
          <w:bottom w:val="single" w:sz="10" w:space="3" w:color="D8C7D1"/>
        </w:pBdr>
      </w:pPr>
      <w:r>
        <w:rPr>
          <w:rFonts w:ascii="Calibri" w:hAnsi="Calibri"/>
          <w:b/>
          <w:color w:val="5A2A4D"/>
          <w:sz w:val="23"/>
          <w:spacing w:val="14"/>
        </w:rPr>
        <w:t>2. Scope</w:t>
      </w:r>
    </w:p>
    <w:p>
      <w:pPr>
        <w:spacing w:after="120"/>
      </w:pPr>
      <w:r>
        <w:rPr>
          <w:rFonts w:ascii="Calibri" w:hAnsi="Calibri"/>
          <w:i w:val="0"/>
          <w:color w:val="2B2B2B"/>
          <w:sz w:val="21"/>
        </w:rPr>
        <w:t>This procedure applies to all vendor invoices and bills payable by the Company — cannabis product invoices, service invoices, supply invoices, and recurring bills. It runs from invoice intake through verification, approval, posting in QuickBooks Online, payment, and filing. It assumes the vendor has completed onboarding under SOP 06 and that purchases were authorized under the purchasing-approval procedure (SOP 04). Payroll is processed separately and is outside this procedure.</w:t>
      </w:r>
    </w:p>
    <w:p>
      <w:pPr>
        <w:spacing w:before="240" w:after="100"/>
        <w:pBdr>
          <w:bottom w:val="single" w:sz="10" w:space="3" w:color="D8C7D1"/>
        </w:pBdr>
      </w:pPr>
      <w:r>
        <w:rPr>
          <w:rFonts w:ascii="Calibri" w:hAnsi="Calibri"/>
          <w:b/>
          <w:color w:val="5A2A4D"/>
          <w:sz w:val="23"/>
          <w:spacing w:val="14"/>
        </w:rPr>
        <w:t>3. Definitions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376"/>
            <w:shd w:val="clear" w:color="auto" w:fill="5A2A4D"/>
          </w:tcPr>
          <w:p>
            <w:pPr>
              <w:spacing w:after="0" w:before="0"/>
            </w:pPr>
            <w:r/>
            <w:r>
              <w:rPr>
                <w:rFonts w:ascii="Calibri" w:hAnsi="Calibri"/>
                <w:b/>
                <w:i w:val="0"/>
                <w:color w:val="FFFFFF"/>
                <w:sz w:val="17"/>
              </w:rPr>
              <w:t>Term</w:t>
            </w:r>
          </w:p>
        </w:tc>
        <w:tc>
          <w:tcPr>
            <w:tcW w:type="dxa" w:w="6984"/>
            <w:shd w:val="clear" w:color="auto" w:fill="5A2A4D"/>
          </w:tcPr>
          <w:p>
            <w:pPr>
              <w:spacing w:after="0" w:before="0"/>
            </w:pPr>
            <w:r/>
            <w:r>
              <w:rPr>
                <w:rFonts w:ascii="Calibri" w:hAnsi="Calibri"/>
                <w:b/>
                <w:i w:val="0"/>
                <w:color w:val="FFFFFF"/>
                <w:sz w:val="17"/>
              </w:rPr>
              <w:t>Definition</w:t>
            </w:r>
          </w:p>
        </w:tc>
      </w:tr>
      <w:tr>
        <w:tc>
          <w:tcPr>
            <w:tcW w:type="dxa" w:w="2376"/>
            <w:vAlign w:val="center"/>
          </w:tcPr>
          <w:p>
            <w:pPr>
              <w:spacing w:after="0" w:before="0"/>
            </w:pPr>
            <w:r/>
            <w:r>
              <w:rPr>
                <w:rFonts w:ascii="Calibri" w:hAnsi="Calibri"/>
                <w:b/>
                <w:i w:val="0"/>
                <w:color w:val="5A2A4D"/>
                <w:sz w:val="18"/>
              </w:rPr>
              <w:t>Invoice / Bill</w:t>
            </w:r>
          </w:p>
        </w:tc>
        <w:tc>
          <w:tcPr>
            <w:tcW w:type="dxa" w:w="6984"/>
            <w:vAlign w:val="center"/>
          </w:tcPr>
          <w:p>
            <w:pPr>
              <w:spacing w:after="0" w:before="0"/>
            </w:pPr>
            <w:r/>
            <w:r>
              <w:rPr>
                <w:rFonts w:ascii="Calibri" w:hAnsi="Calibri"/>
                <w:b w:val="0"/>
                <w:i w:val="0"/>
                <w:color w:val="2B2B2B"/>
                <w:sz w:val="18"/>
              </w:rPr>
              <w:t>A vendor’s request for payment for goods or services provided to the Company.</w:t>
            </w:r>
          </w:p>
        </w:tc>
      </w:tr>
      <w:tr>
        <w:tc>
          <w:tcPr>
            <w:tcW w:type="dxa" w:w="2376"/>
            <w:vAlign w:val="center"/>
          </w:tcPr>
          <w:p>
            <w:pPr>
              <w:spacing w:after="0" w:before="0"/>
            </w:pPr>
            <w:r/>
            <w:r>
              <w:rPr>
                <w:rFonts w:ascii="Calibri" w:hAnsi="Calibri"/>
                <w:b/>
                <w:i w:val="0"/>
                <w:color w:val="5A2A4D"/>
                <w:sz w:val="18"/>
              </w:rPr>
              <w:t>Three-Way Match</w:t>
            </w:r>
          </w:p>
        </w:tc>
        <w:tc>
          <w:tcPr>
            <w:tcW w:type="dxa" w:w="6984"/>
            <w:vAlign w:val="center"/>
          </w:tcPr>
          <w:p>
            <w:pPr>
              <w:spacing w:after="0" w:before="0"/>
            </w:pPr>
            <w:r/>
            <w:r>
              <w:rPr>
                <w:rFonts w:ascii="Calibri" w:hAnsi="Calibri"/>
                <w:b w:val="0"/>
                <w:i w:val="0"/>
                <w:color w:val="2B2B2B"/>
                <w:sz w:val="18"/>
              </w:rPr>
              <w:t>Verification that the invoice agrees with the purchase order and with the record of goods or services received.</w:t>
            </w:r>
          </w:p>
        </w:tc>
      </w:tr>
      <w:tr>
        <w:tc>
          <w:tcPr>
            <w:tcW w:type="dxa" w:w="2376"/>
            <w:vAlign w:val="center"/>
          </w:tcPr>
          <w:p>
            <w:pPr>
              <w:spacing w:after="0" w:before="0"/>
            </w:pPr>
            <w:r/>
            <w:r>
              <w:rPr>
                <w:rFonts w:ascii="Calibri" w:hAnsi="Calibri"/>
                <w:b/>
                <w:i w:val="0"/>
                <w:color w:val="5A2A4D"/>
                <w:sz w:val="18"/>
              </w:rPr>
              <w:t>Approval Authority</w:t>
            </w:r>
          </w:p>
        </w:tc>
        <w:tc>
          <w:tcPr>
            <w:tcW w:type="dxa" w:w="6984"/>
            <w:vAlign w:val="center"/>
          </w:tcPr>
          <w:p>
            <w:pPr>
              <w:spacing w:after="0" w:before="0"/>
            </w:pPr>
            <w:r/>
            <w:r>
              <w:rPr>
                <w:rFonts w:ascii="Calibri" w:hAnsi="Calibri"/>
                <w:b w:val="0"/>
                <w:i w:val="0"/>
                <w:color w:val="2B2B2B"/>
                <w:sz w:val="18"/>
              </w:rPr>
              <w:t>The schedule defining who may approve a payment and up to what dollar amount.</w:t>
            </w:r>
          </w:p>
        </w:tc>
      </w:tr>
      <w:tr>
        <w:tc>
          <w:tcPr>
            <w:tcW w:type="dxa" w:w="2376"/>
            <w:vAlign w:val="center"/>
          </w:tcPr>
          <w:p>
            <w:pPr>
              <w:spacing w:after="0" w:before="0"/>
            </w:pPr>
            <w:r/>
            <w:r>
              <w:rPr>
                <w:rFonts w:ascii="Calibri" w:hAnsi="Calibri"/>
                <w:b/>
                <w:i w:val="0"/>
                <w:color w:val="5A2A4D"/>
                <w:sz w:val="18"/>
              </w:rPr>
              <w:t>AP Aging</w:t>
            </w:r>
          </w:p>
        </w:tc>
        <w:tc>
          <w:tcPr>
            <w:tcW w:type="dxa" w:w="6984"/>
            <w:vAlign w:val="center"/>
          </w:tcPr>
          <w:p>
            <w:pPr>
              <w:spacing w:after="0" w:before="0"/>
            </w:pPr>
            <w:r/>
            <w:r>
              <w:rPr>
                <w:rFonts w:ascii="Calibri" w:hAnsi="Calibri"/>
                <w:b w:val="0"/>
                <w:i w:val="0"/>
                <w:color w:val="2B2B2B"/>
                <w:sz w:val="18"/>
              </w:rPr>
              <w:t>The report listing unpaid invoices by how long they have been outstanding.</w:t>
            </w:r>
          </w:p>
        </w:tc>
      </w:tr>
      <w:tr>
        <w:tc>
          <w:tcPr>
            <w:tcW w:type="dxa" w:w="2376"/>
            <w:vAlign w:val="center"/>
          </w:tcPr>
          <w:p>
            <w:pPr>
              <w:spacing w:after="0" w:before="0"/>
            </w:pPr>
            <w:r/>
            <w:r>
              <w:rPr>
                <w:rFonts w:ascii="Calibri" w:hAnsi="Calibri"/>
                <w:b/>
                <w:i w:val="0"/>
                <w:color w:val="5A2A4D"/>
                <w:sz w:val="18"/>
              </w:rPr>
              <w:t>Payment Run</w:t>
            </w:r>
          </w:p>
        </w:tc>
        <w:tc>
          <w:tcPr>
            <w:tcW w:type="dxa" w:w="6984"/>
            <w:vAlign w:val="center"/>
          </w:tcPr>
          <w:p>
            <w:pPr>
              <w:spacing w:after="0" w:before="0"/>
            </w:pPr>
            <w:r/>
            <w:r>
              <w:rPr>
                <w:rFonts w:ascii="Calibri" w:hAnsi="Calibri"/>
                <w:b w:val="0"/>
                <w:i w:val="0"/>
                <w:color w:val="2B2B2B"/>
                <w:sz w:val="18"/>
              </w:rPr>
              <w:t>A scheduled batch of approved invoices selected for payment.</w:t>
            </w:r>
          </w:p>
        </w:tc>
      </w:tr>
    </w:tbl>
    <w:p>
      <w:pPr>
        <w:spacing w:before="240" w:after="100"/>
        <w:pBdr>
          <w:bottom w:val="single" w:sz="10" w:space="3" w:color="D8C7D1"/>
        </w:pBdr>
      </w:pPr>
      <w:r>
        <w:rPr>
          <w:rFonts w:ascii="Calibri" w:hAnsi="Calibri"/>
          <w:b/>
          <w:color w:val="5A2A4D"/>
          <w:sz w:val="23"/>
          <w:spacing w:val="14"/>
        </w:rPr>
        <w:t>4. Roles &amp; Responsibilities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808"/>
            <w:shd w:val="clear" w:color="auto" w:fill="5A2A4D"/>
          </w:tcPr>
          <w:p>
            <w:pPr>
              <w:spacing w:after="0" w:before="0"/>
            </w:pPr>
            <w:r/>
            <w:r>
              <w:rPr>
                <w:rFonts w:ascii="Calibri" w:hAnsi="Calibri"/>
                <w:b/>
                <w:i w:val="0"/>
                <w:color w:val="FFFFFF"/>
                <w:sz w:val="17"/>
              </w:rPr>
              <w:t>Role</w:t>
            </w:r>
          </w:p>
        </w:tc>
        <w:tc>
          <w:tcPr>
            <w:tcW w:type="dxa" w:w="6552"/>
            <w:shd w:val="clear" w:color="auto" w:fill="5A2A4D"/>
          </w:tcPr>
          <w:p>
            <w:pPr>
              <w:spacing w:after="0" w:before="0"/>
            </w:pPr>
            <w:r/>
            <w:r>
              <w:rPr>
                <w:rFonts w:ascii="Calibri" w:hAnsi="Calibri"/>
                <w:b/>
                <w:i w:val="0"/>
                <w:color w:val="FFFFFF"/>
                <w:sz w:val="17"/>
              </w:rPr>
              <w:t>Responsibility</w:t>
            </w:r>
          </w:p>
        </w:tc>
      </w:tr>
      <w:tr>
        <w:tc>
          <w:tcPr>
            <w:tcW w:type="dxa" w:w="2808"/>
            <w:vAlign w:val="center"/>
          </w:tcPr>
          <w:p>
            <w:pPr>
              <w:spacing w:after="0" w:before="0"/>
            </w:pPr>
            <w:r/>
            <w:r>
              <w:rPr>
                <w:rFonts w:ascii="Calibri" w:hAnsi="Calibri"/>
                <w:b/>
                <w:i w:val="0"/>
                <w:color w:val="5A2A4D"/>
                <w:sz w:val="18"/>
              </w:rPr>
              <w:t>Requesting / Receiving Manager</w:t>
            </w:r>
          </w:p>
        </w:tc>
        <w:tc>
          <w:tcPr>
            <w:tcW w:type="dxa" w:w="6552"/>
            <w:vAlign w:val="center"/>
          </w:tcPr>
          <w:p>
            <w:pPr>
              <w:spacing w:after="0" w:before="0"/>
            </w:pPr>
            <w:r/>
            <w:r>
              <w:rPr>
                <w:rFonts w:ascii="Calibri" w:hAnsi="Calibri"/>
                <w:b w:val="0"/>
                <w:i w:val="0"/>
                <w:color w:val="2B2B2B"/>
                <w:sz w:val="18"/>
              </w:rPr>
              <w:t>Confirms goods or services were received as ordered and at the agreed price; approves the invoice for payment within their authority.</w:t>
            </w:r>
          </w:p>
        </w:tc>
      </w:tr>
      <w:tr>
        <w:tc>
          <w:tcPr>
            <w:tcW w:type="dxa" w:w="2808"/>
            <w:vAlign w:val="center"/>
          </w:tcPr>
          <w:p>
            <w:pPr>
              <w:spacing w:after="0" w:before="0"/>
            </w:pPr>
            <w:r/>
            <w:r>
              <w:rPr>
                <w:rFonts w:ascii="Calibri" w:hAnsi="Calibri"/>
                <w:b/>
                <w:i w:val="0"/>
                <w:color w:val="5A2A4D"/>
                <w:sz w:val="18"/>
              </w:rPr>
              <w:t>Accounting (the outsourced accounting provider / in-house lead)</w:t>
            </w:r>
          </w:p>
        </w:tc>
        <w:tc>
          <w:tcPr>
            <w:tcW w:type="dxa" w:w="6552"/>
            <w:vAlign w:val="center"/>
          </w:tcPr>
          <w:p>
            <w:pPr>
              <w:spacing w:after="0" w:before="0"/>
            </w:pPr>
            <w:r/>
            <w:r>
              <w:rPr>
                <w:rFonts w:ascii="Calibri" w:hAnsi="Calibri"/>
                <w:b w:val="0"/>
                <w:i w:val="0"/>
                <w:color w:val="2B2B2B"/>
                <w:sz w:val="18"/>
              </w:rPr>
              <w:t>Receives and reviews invoices; performs the three-way match; posts approved bills in QBO; prepares the payment run; files documentation.</w:t>
            </w:r>
          </w:p>
        </w:tc>
      </w:tr>
      <w:tr>
        <w:tc>
          <w:tcPr>
            <w:tcW w:type="dxa" w:w="2808"/>
            <w:vAlign w:val="center"/>
          </w:tcPr>
          <w:p>
            <w:pPr>
              <w:spacing w:after="0" w:before="0"/>
            </w:pPr>
            <w:r/>
            <w:r>
              <w:rPr>
                <w:rFonts w:ascii="Calibri" w:hAnsi="Calibri"/>
                <w:b/>
                <w:i w:val="0"/>
                <w:color w:val="5A2A4D"/>
                <w:sz w:val="18"/>
              </w:rPr>
              <w:t>Approver (per authority schedule)</w:t>
            </w:r>
          </w:p>
        </w:tc>
        <w:tc>
          <w:tcPr>
            <w:tcW w:type="dxa" w:w="6552"/>
            <w:vAlign w:val="center"/>
          </w:tcPr>
          <w:p>
            <w:pPr>
              <w:spacing w:after="0" w:before="0"/>
            </w:pPr>
            <w:r/>
            <w:r>
              <w:rPr>
                <w:rFonts w:ascii="Calibri" w:hAnsi="Calibri"/>
                <w:b w:val="0"/>
                <w:i w:val="0"/>
                <w:color w:val="2B2B2B"/>
                <w:sz w:val="18"/>
              </w:rPr>
              <w:t>Reviews and approves invoices above defined thresholds before payment.</w:t>
            </w:r>
          </w:p>
        </w:tc>
      </w:tr>
      <w:tr>
        <w:tc>
          <w:tcPr>
            <w:tcW w:type="dxa" w:w="2808"/>
            <w:vAlign w:val="center"/>
          </w:tcPr>
          <w:p>
            <w:pPr>
              <w:spacing w:after="0" w:before="0"/>
            </w:pPr>
            <w:r/>
            <w:r>
              <w:rPr>
                <w:rFonts w:ascii="Calibri" w:hAnsi="Calibri"/>
                <w:b/>
                <w:i w:val="0"/>
                <w:color w:val="5A2A4D"/>
                <w:sz w:val="18"/>
              </w:rPr>
              <w:t>Owner</w:t>
            </w:r>
          </w:p>
        </w:tc>
        <w:tc>
          <w:tcPr>
            <w:tcW w:type="dxa" w:w="6552"/>
            <w:vAlign w:val="center"/>
          </w:tcPr>
          <w:p>
            <w:pPr>
              <w:spacing w:after="0" w:before="0"/>
            </w:pPr>
            <w:r/>
            <w:r>
              <w:rPr>
                <w:rFonts w:ascii="Calibri" w:hAnsi="Calibri"/>
                <w:b w:val="0"/>
                <w:i w:val="0"/>
                <w:color w:val="2B2B2B"/>
                <w:sz w:val="18"/>
              </w:rPr>
              <w:t>Approves payments above Owner threshold and releases the final payment run; reviews the AP aging.</w:t>
            </w:r>
          </w:p>
        </w:tc>
      </w:tr>
      <w:tr>
        <w:tc>
          <w:tcPr>
            <w:tcW w:type="dxa" w:w="2808"/>
            <w:vAlign w:val="center"/>
          </w:tcPr>
          <w:p>
            <w:pPr>
              <w:spacing w:after="0" w:before="0"/>
            </w:pPr>
            <w:r/>
            <w:r>
              <w:rPr>
                <w:rFonts w:ascii="Calibri" w:hAnsi="Calibri"/>
                <w:b/>
                <w:i w:val="0"/>
                <w:color w:val="5A2A4D"/>
                <w:sz w:val="18"/>
              </w:rPr>
              <w:t>Controller</w:t>
            </w:r>
          </w:p>
        </w:tc>
        <w:tc>
          <w:tcPr>
            <w:tcW w:type="dxa" w:w="6552"/>
            <w:vAlign w:val="center"/>
          </w:tcPr>
          <w:p>
            <w:pPr>
              <w:spacing w:after="0" w:before="0"/>
            </w:pPr>
            <w:r/>
            <w:r>
              <w:rPr>
                <w:rFonts w:ascii="Calibri" w:hAnsi="Calibri"/>
                <w:b w:val="0"/>
                <w:i w:val="0"/>
                <w:color w:val="2B2B2B"/>
                <w:sz w:val="18"/>
              </w:rPr>
              <w:t>Oversight — reviews the AP workflow and approval controls; performs independent periodic review of payments and supporting documentation.</w:t>
            </w:r>
          </w:p>
        </w:tc>
      </w:tr>
    </w:tbl>
    <w:p>
      <w:pPr>
        <w:spacing w:before="240" w:after="100"/>
        <w:pBdr>
          <w:bottom w:val="single" w:sz="10" w:space="3" w:color="D8C7D1"/>
        </w:pBdr>
      </w:pPr>
      <w:r>
        <w:rPr>
          <w:rFonts w:ascii="Calibri" w:hAnsi="Calibri"/>
          <w:b/>
          <w:color w:val="5A2A4D"/>
          <w:sz w:val="23"/>
          <w:spacing w:val="14"/>
        </w:rPr>
        <w:t>5. Procedure</w:t>
      </w:r>
    </w:p>
    <w:p>
      <w:pPr>
        <w:spacing w:before="140" w:after="60"/>
      </w:pPr>
      <w:r>
        <w:rPr>
          <w:rFonts w:ascii="Calibri" w:hAnsi="Calibri"/>
          <w:b/>
          <w:color w:val="5A2A4D"/>
          <w:sz w:val="20"/>
        </w:rPr>
        <w:t>A. Invoice Intake</w:t>
      </w:r>
    </w:p>
    <w:p>
      <w:pPr>
        <w:pStyle w:val="ListNumber"/>
        <w:numPr>
          <w:ilvl w:val="0"/>
          <w:numId w:val="12"/>
        </w:numPr>
        <w:spacing w:after="80"/>
      </w:pPr>
      <w:r>
        <w:rPr>
          <w:rFonts w:ascii="Calibri" w:hAnsi="Calibri"/>
          <w:b w:val="0"/>
          <w:color w:val="2B2B2B"/>
          <w:sz w:val="19"/>
        </w:rPr>
        <w:t>All vendor invoices are routed to a single intake point in Accounting; invoices sent directly to a manager are forwarded to Accounting rather than paid informally.</w:t>
      </w:r>
    </w:p>
    <w:p>
      <w:pPr>
        <w:pStyle w:val="ListNumber"/>
        <w:numPr>
          <w:ilvl w:val="0"/>
          <w:numId w:val="12"/>
        </w:numPr>
        <w:spacing w:after="80"/>
      </w:pPr>
      <w:r>
        <w:rPr>
          <w:rFonts w:ascii="Calibri" w:hAnsi="Calibri"/>
          <w:b w:val="0"/>
          <w:color w:val="2B2B2B"/>
          <w:sz w:val="19"/>
        </w:rPr>
        <w:t>Accounting confirms the vendor has completed onboarding (SOP 06) and records the invoice with its date, number, amount, and due date.</w:t>
      </w:r>
    </w:p>
    <w:p>
      <w:pPr>
        <w:pStyle w:val="ListNumber"/>
        <w:numPr>
          <w:ilvl w:val="0"/>
          <w:numId w:val="12"/>
        </w:numPr>
        <w:spacing w:after="80"/>
      </w:pPr>
      <w:r>
        <w:rPr>
          <w:rFonts w:ascii="Calibri" w:hAnsi="Calibri"/>
          <w:b w:val="0"/>
          <w:color w:val="2B2B2B"/>
          <w:sz w:val="19"/>
        </w:rPr>
        <w:t>Accounting checks the invoice number against prior invoices to confirm it is not a duplicate.</w:t>
      </w:r>
    </w:p>
    <w:p>
      <w:pPr>
        <w:spacing w:before="140" w:after="60"/>
      </w:pPr>
      <w:r>
        <w:rPr>
          <w:rFonts w:ascii="Calibri" w:hAnsi="Calibri"/>
          <w:b/>
          <w:color w:val="5A2A4D"/>
          <w:sz w:val="20"/>
        </w:rPr>
        <w:t>B. Verification</w:t>
      </w:r>
    </w:p>
    <w:p>
      <w:pPr>
        <w:pStyle w:val="ListNumber"/>
        <w:numPr>
          <w:ilvl w:val="0"/>
          <w:numId w:val="12"/>
        </w:numPr>
        <w:spacing w:after="80"/>
      </w:pPr>
      <w:r>
        <w:rPr>
          <w:rFonts w:ascii="Calibri" w:hAnsi="Calibri"/>
          <w:b w:val="0"/>
          <w:color w:val="2B2B2B"/>
          <w:sz w:val="19"/>
        </w:rPr>
        <w:t>Accounting performs a three-way match: the invoice is compared to the purchase order or approved request and to the record that the goods or services were received.</w:t>
      </w:r>
    </w:p>
    <w:p>
      <w:pPr>
        <w:pStyle w:val="ListNumber"/>
        <w:numPr>
          <w:ilvl w:val="0"/>
          <w:numId w:val="12"/>
        </w:numPr>
        <w:spacing w:after="80"/>
      </w:pPr>
      <w:r>
        <w:rPr>
          <w:rFonts w:ascii="Calibri" w:hAnsi="Calibri"/>
          <w:b w:val="0"/>
          <w:color w:val="2B2B2B"/>
          <w:sz w:val="19"/>
        </w:rPr>
        <w:t>For cannabis product invoices, the received quantity is confirmed against track-and-trace system transfer manifest and the receiving record (cross-reference SOP 11), and pricing is confirmed against the purchase order.</w:t>
      </w:r>
    </w:p>
    <w:p>
      <w:pPr>
        <w:pStyle w:val="ListNumber"/>
        <w:numPr>
          <w:ilvl w:val="0"/>
          <w:numId w:val="12"/>
        </w:numPr>
        <w:spacing w:after="80"/>
      </w:pPr>
      <w:r>
        <w:rPr>
          <w:rFonts w:ascii="Calibri" w:hAnsi="Calibri"/>
          <w:b w:val="0"/>
          <w:color w:val="2B2B2B"/>
          <w:sz w:val="19"/>
        </w:rPr>
        <w:t>Any discrepancy in price, quantity, or terms is communicated to the vendor and the Requesting Manager and resolved before the invoice moves forward.</w:t>
      </w:r>
    </w:p>
    <w:p>
      <w:pPr>
        <w:spacing w:before="140" w:after="60"/>
      </w:pPr>
      <w:r>
        <w:rPr>
          <w:rFonts w:ascii="Calibri" w:hAnsi="Calibri"/>
          <w:b/>
          <w:color w:val="5A2A4D"/>
          <w:sz w:val="20"/>
        </w:rPr>
        <w:t>C. Approval</w:t>
      </w:r>
    </w:p>
    <w:p>
      <w:pPr>
        <w:pStyle w:val="ListNumber"/>
        <w:numPr>
          <w:ilvl w:val="0"/>
          <w:numId w:val="12"/>
        </w:numPr>
        <w:spacing w:after="80"/>
      </w:pPr>
      <w:r>
        <w:rPr>
          <w:rFonts w:ascii="Calibri" w:hAnsi="Calibri"/>
          <w:b w:val="0"/>
          <w:color w:val="2B2B2B"/>
          <w:sz w:val="19"/>
        </w:rPr>
        <w:t>The Requesting or Receiving Manager confirms receipt and approves the invoice for payment within their authority.</w:t>
      </w:r>
    </w:p>
    <w:p>
      <w:pPr>
        <w:pStyle w:val="ListNumber"/>
        <w:numPr>
          <w:ilvl w:val="0"/>
          <w:numId w:val="12"/>
        </w:numPr>
        <w:spacing w:after="80"/>
      </w:pPr>
      <w:r>
        <w:rPr>
          <w:rFonts w:ascii="Calibri" w:hAnsi="Calibri"/>
          <w:b w:val="0"/>
          <w:color w:val="2B2B2B"/>
          <w:sz w:val="19"/>
        </w:rPr>
        <w:t>Invoices above defined thresholds are approved by the appropriate Approver, and above Owner threshold by Owner, in line with the approval authority schedule.</w:t>
      </w:r>
    </w:p>
    <w:p>
      <w:pPr>
        <w:pStyle w:val="ListNumber"/>
        <w:numPr>
          <w:ilvl w:val="0"/>
          <w:numId w:val="12"/>
        </w:numPr>
        <w:spacing w:after="80"/>
      </w:pPr>
      <w:r>
        <w:rPr>
          <w:rFonts w:ascii="Calibri" w:hAnsi="Calibri"/>
          <w:b w:val="0"/>
          <w:color w:val="2B2B2B"/>
          <w:sz w:val="19"/>
        </w:rPr>
        <w:t>The approval is documented and retained with the invoice.</w:t>
      </w:r>
    </w:p>
    <w:p>
      <w:pPr>
        <w:spacing w:before="140" w:after="60"/>
      </w:pPr>
      <w:r>
        <w:rPr>
          <w:rFonts w:ascii="Calibri" w:hAnsi="Calibri"/>
          <w:b/>
          <w:color w:val="5A2A4D"/>
          <w:sz w:val="20"/>
        </w:rPr>
        <w:t>D. Posting &amp; Payment</w:t>
      </w:r>
    </w:p>
    <w:p>
      <w:pPr>
        <w:pStyle w:val="ListNumber"/>
        <w:numPr>
          <w:ilvl w:val="0"/>
          <w:numId w:val="12"/>
        </w:numPr>
        <w:spacing w:after="80"/>
      </w:pPr>
      <w:r>
        <w:rPr>
          <w:rFonts w:ascii="Calibri" w:hAnsi="Calibri"/>
          <w:b w:val="0"/>
          <w:color w:val="2B2B2B"/>
          <w:sz w:val="19"/>
        </w:rPr>
        <w:t>Accounting posts the approved invoice as a bill in QuickBooks Online, coded to the correct account and period.</w:t>
      </w:r>
    </w:p>
    <w:p>
      <w:pPr>
        <w:pStyle w:val="ListNumber"/>
        <w:numPr>
          <w:ilvl w:val="0"/>
          <w:numId w:val="12"/>
        </w:numPr>
        <w:spacing w:after="80"/>
      </w:pPr>
      <w:r>
        <w:rPr>
          <w:rFonts w:ascii="Calibri" w:hAnsi="Calibri"/>
          <w:b w:val="0"/>
          <w:color w:val="2B2B2B"/>
          <w:sz w:val="19"/>
        </w:rPr>
        <w:t>Accounting prepares a payment run of approved, due invoices; Owner or an authorized signer reviews the run against supporting documentation and releases payment.</w:t>
      </w:r>
    </w:p>
    <w:p>
      <w:pPr>
        <w:pStyle w:val="ListNumber"/>
        <w:numPr>
          <w:ilvl w:val="0"/>
          <w:numId w:val="12"/>
        </w:numPr>
        <w:spacing w:after="80"/>
      </w:pPr>
      <w:r>
        <w:rPr>
          <w:rFonts w:ascii="Calibri" w:hAnsi="Calibri"/>
          <w:b w:val="0"/>
          <w:color w:val="2B2B2B"/>
          <w:sz w:val="19"/>
        </w:rPr>
        <w:t>The person who enters or posts bills does not also release payment; payment release requires a separate authorized person.</w:t>
      </w:r>
    </w:p>
    <w:p>
      <w:pPr>
        <w:pStyle w:val="ListNumber"/>
        <w:numPr>
          <w:ilvl w:val="0"/>
          <w:numId w:val="12"/>
        </w:numPr>
        <w:spacing w:after="80"/>
      </w:pPr>
      <w:r>
        <w:rPr>
          <w:rFonts w:ascii="Calibri" w:hAnsi="Calibri"/>
          <w:b w:val="0"/>
          <w:color w:val="2B2B2B"/>
          <w:sz w:val="19"/>
        </w:rPr>
        <w:t>Paid invoices are marked paid to prevent duplicate payment and are filed to document management system (05_Accounts Payable).</w:t>
      </w:r>
    </w:p>
    <w:p>
      <w:pPr>
        <w:spacing w:before="140" w:after="60"/>
      </w:pPr>
      <w:r>
        <w:rPr>
          <w:rFonts w:ascii="Calibri" w:hAnsi="Calibri"/>
          <w:b/>
          <w:color w:val="5A2A4D"/>
          <w:sz w:val="20"/>
        </w:rPr>
        <w:t>E. Monitoring</w:t>
      </w:r>
    </w:p>
    <w:p>
      <w:pPr>
        <w:pStyle w:val="ListNumber"/>
        <w:numPr>
          <w:ilvl w:val="0"/>
          <w:numId w:val="12"/>
        </w:numPr>
        <w:spacing w:after="80"/>
      </w:pPr>
      <w:r>
        <w:rPr>
          <w:rFonts w:ascii="Calibri" w:hAnsi="Calibri"/>
          <w:b w:val="0"/>
          <w:color w:val="2B2B2B"/>
          <w:sz w:val="19"/>
        </w:rPr>
        <w:t>Accounting reviews the AP aging on a regular cadence and reports upcoming obligations to support cash-flow planning.</w:t>
      </w:r>
    </w:p>
    <w:p>
      <w:pPr>
        <w:spacing w:after="80"/>
      </w:pPr>
      <w:r>
        <w:rPr>
          <w:rFonts w:ascii="Calibri" w:hAnsi="Calibri"/>
          <w:i/>
          <w:color w:val="707070"/>
          <w:sz w:val="17"/>
        </w:rPr>
        <w:t>Approval thresholds, the dollar levels of the approval authority schedule, and the payment-run cadence are management decisions. The approval authority schedule itself is being developed within the internal controls work and should be confirmed before this SOP is finalized.</w:t>
      </w:r>
    </w:p>
    <w:p>
      <w:pPr>
        <w:spacing w:before="240" w:after="100"/>
        <w:pBdr>
          <w:bottom w:val="single" w:sz="10" w:space="3" w:color="D8C7D1"/>
        </w:pBdr>
      </w:pPr>
      <w:r>
        <w:rPr>
          <w:rFonts w:ascii="Calibri" w:hAnsi="Calibri"/>
          <w:b/>
          <w:color w:val="5A2A4D"/>
          <w:sz w:val="23"/>
          <w:spacing w:val="14"/>
        </w:rPr>
        <w:t>6. Internal Controls</w:t>
      </w:r>
    </w:p>
    <w:p>
      <w:pPr>
        <w:pStyle w:val="ListBullet"/>
        <w:spacing w:after="80"/>
      </w:pPr>
      <w:r>
        <w:rPr>
          <w:rFonts w:ascii="Calibri" w:hAnsi="Calibri"/>
          <w:b w:val="0"/>
          <w:color w:val="2B2B2B"/>
          <w:sz w:val="19"/>
        </w:rPr>
        <w:t>Segregation of duties: the person who sets up vendors, the person who approves an invoice, the person who posts the bill, and the person who releases payment are not the same person.</w:t>
      </w:r>
    </w:p>
    <w:p>
      <w:pPr>
        <w:pStyle w:val="ListBullet"/>
        <w:spacing w:after="80"/>
      </w:pPr>
      <w:r>
        <w:rPr>
          <w:rFonts w:ascii="Calibri" w:hAnsi="Calibri"/>
          <w:b w:val="0"/>
          <w:color w:val="2B2B2B"/>
          <w:sz w:val="19"/>
        </w:rPr>
        <w:t>A three-way match — invoice to purchase order to receiving record — is performed before an invoice is approved for payment.</w:t>
      </w:r>
    </w:p>
    <w:p>
      <w:pPr>
        <w:pStyle w:val="ListBullet"/>
        <w:spacing w:after="80"/>
      </w:pPr>
      <w:r>
        <w:rPr>
          <w:rFonts w:ascii="Calibri" w:hAnsi="Calibri"/>
          <w:b w:val="0"/>
          <w:color w:val="2B2B2B"/>
          <w:sz w:val="19"/>
        </w:rPr>
        <w:t>Invoices are approved according to a documented approval authority schedule, by dollar threshold.</w:t>
      </w:r>
    </w:p>
    <w:p>
      <w:pPr>
        <w:pStyle w:val="ListBullet"/>
        <w:spacing w:after="80"/>
      </w:pPr>
      <w:r>
        <w:rPr>
          <w:rFonts w:ascii="Calibri" w:hAnsi="Calibri"/>
          <w:b w:val="0"/>
          <w:color w:val="2B2B2B"/>
          <w:sz w:val="19"/>
        </w:rPr>
        <w:t>Invoice numbers are checked for duplicates at intake, and paid invoices are marked paid, to prevent paying the same invoice twice.</w:t>
      </w:r>
    </w:p>
    <w:p>
      <w:pPr>
        <w:pStyle w:val="ListBullet"/>
        <w:spacing w:after="80"/>
      </w:pPr>
      <w:r>
        <w:rPr>
          <w:rFonts w:ascii="Calibri" w:hAnsi="Calibri"/>
          <w:b w:val="0"/>
          <w:color w:val="2B2B2B"/>
          <w:sz w:val="19"/>
        </w:rPr>
        <w:t>Payment is released only against complete supporting documentation and only by an authorized signer.</w:t>
      </w:r>
    </w:p>
    <w:p>
      <w:pPr>
        <w:pStyle w:val="ListBullet"/>
        <w:spacing w:after="80"/>
      </w:pPr>
      <w:r>
        <w:rPr>
          <w:rFonts w:ascii="Calibri" w:hAnsi="Calibri"/>
          <w:b w:val="0"/>
          <w:color w:val="2B2B2B"/>
          <w:sz w:val="19"/>
        </w:rPr>
        <w:t>All invoices route through a single intake point — no informal or side-channel payments.</w:t>
      </w:r>
    </w:p>
    <w:p>
      <w:pPr>
        <w:pStyle w:val="ListBullet"/>
        <w:spacing w:after="80"/>
      </w:pPr>
      <w:r>
        <w:rPr>
          <w:rFonts w:ascii="Calibri" w:hAnsi="Calibri"/>
          <w:b w:val="0"/>
          <w:color w:val="2B2B2B"/>
          <w:sz w:val="19"/>
        </w:rPr>
        <w:t>Controller performs independent periodic review of payments and supporting documentation.</w:t>
      </w:r>
    </w:p>
    <w:p>
      <w:pPr>
        <w:spacing w:before="240" w:after="100"/>
        <w:pBdr>
          <w:bottom w:val="single" w:sz="10" w:space="3" w:color="D8C7D1"/>
        </w:pBdr>
      </w:pPr>
      <w:r>
        <w:rPr>
          <w:rFonts w:ascii="Calibri" w:hAnsi="Calibri"/>
          <w:b/>
          <w:color w:val="5A2A4D"/>
          <w:sz w:val="23"/>
          <w:spacing w:val="14"/>
        </w:rPr>
        <w:t>7. Regulatory &amp; Compliance Basis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2088"/>
            <w:shd w:val="clear" w:color="auto" w:fill="5A2A4D"/>
          </w:tcPr>
          <w:p>
            <w:pPr>
              <w:spacing w:after="0" w:before="0"/>
            </w:pPr>
            <w:r/>
            <w:r>
              <w:rPr>
                <w:rFonts w:ascii="Calibri" w:hAnsi="Calibri"/>
                <w:b/>
                <w:i w:val="0"/>
                <w:color w:val="FFFFFF"/>
                <w:sz w:val="16"/>
              </w:rPr>
              <w:t>Reference</w:t>
            </w:r>
          </w:p>
        </w:tc>
        <w:tc>
          <w:tcPr>
            <w:tcW w:type="dxa" w:w="6264"/>
            <w:shd w:val="clear" w:color="auto" w:fill="5A2A4D"/>
          </w:tcPr>
          <w:p>
            <w:pPr>
              <w:spacing w:after="0" w:before="0"/>
            </w:pPr>
            <w:r/>
            <w:r>
              <w:rPr>
                <w:rFonts w:ascii="Calibri" w:hAnsi="Calibri"/>
                <w:b/>
                <w:i w:val="0"/>
                <w:color w:val="FFFFFF"/>
                <w:sz w:val="16"/>
              </w:rPr>
              <w:t>Requirement / Basis</w:t>
            </w:r>
          </w:p>
        </w:tc>
        <w:tc>
          <w:tcPr>
            <w:tcW w:type="dxa" w:w="1008"/>
            <w:shd w:val="clear" w:color="auto" w:fill="5A2A4D"/>
          </w:tcPr>
          <w:p>
            <w:pPr>
              <w:spacing w:after="0" w:before="0"/>
            </w:pPr>
            <w:r/>
            <w:r>
              <w:rPr>
                <w:rFonts w:ascii="Calibri" w:hAnsi="Calibri"/>
                <w:b/>
                <w:i w:val="0"/>
                <w:color w:val="FFFFFF"/>
                <w:sz w:val="16"/>
              </w:rPr>
              <w:t>Class</w:t>
            </w:r>
          </w:p>
        </w:tc>
      </w:tr>
      <w:tr>
        <w:tc>
          <w:tcPr>
            <w:tcW w:type="dxa" w:w="2088"/>
            <w:vAlign w:val="center"/>
          </w:tcPr>
          <w:p>
            <w:pPr>
              <w:spacing w:after="0" w:before="0"/>
            </w:pPr>
            <w:r/>
            <w:r>
              <w:rPr>
                <w:rFonts w:ascii="Calibri" w:hAnsi="Calibri"/>
                <w:b/>
                <w:i w:val="0"/>
                <w:color w:val="5A2A4D"/>
                <w:sz w:val="17"/>
              </w:rPr>
              <w:t>Applicable state cannabis regulations; state regulator guidance</w:t>
            </w:r>
          </w:p>
        </w:tc>
        <w:tc>
          <w:tcPr>
            <w:tcW w:type="dxa" w:w="6264"/>
            <w:vAlign w:val="center"/>
          </w:tcPr>
          <w:p>
            <w:pPr>
              <w:spacing w:after="0" w:before="0"/>
            </w:pPr>
            <w:r/>
            <w:r>
              <w:rPr>
                <w:rFonts w:ascii="Calibri" w:hAnsi="Calibri"/>
                <w:b w:val="0"/>
                <w:i w:val="0"/>
                <w:color w:val="2B2B2B"/>
                <w:sz w:val="17"/>
              </w:rPr>
              <w:t>Cannabis product invoices should reconcile to track-and-trace system transfer manifest and the receiving record, linking the payable to regulated product actually received.</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IRS — 1099 reporting</w:t>
            </w:r>
          </w:p>
        </w:tc>
        <w:tc>
          <w:tcPr>
            <w:tcW w:type="dxa" w:w="6264"/>
            <w:vAlign w:val="center"/>
          </w:tcPr>
          <w:p>
            <w:pPr>
              <w:spacing w:after="0" w:before="0"/>
            </w:pPr>
            <w:r/>
            <w:r>
              <w:rPr>
                <w:rFonts w:ascii="Calibri" w:hAnsi="Calibri"/>
                <w:b w:val="0"/>
                <w:i w:val="0"/>
                <w:color w:val="2B2B2B"/>
                <w:sz w:val="17"/>
              </w:rPr>
              <w:t>Reportable payments to vendors are tracked through AP for year-end 1099-NEC reporting.</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Segregation of duties across AP</w:t>
            </w:r>
          </w:p>
        </w:tc>
        <w:tc>
          <w:tcPr>
            <w:tcW w:type="dxa" w:w="6264"/>
            <w:vAlign w:val="center"/>
          </w:tcPr>
          <w:p>
            <w:pPr>
              <w:spacing w:after="0" w:before="0"/>
            </w:pPr>
            <w:r/>
            <w:r>
              <w:rPr>
                <w:rFonts w:ascii="Calibri" w:hAnsi="Calibri"/>
                <w:b w:val="0"/>
                <w:i w:val="0"/>
                <w:color w:val="2B2B2B"/>
                <w:sz w:val="17"/>
              </w:rPr>
              <w:t>Vendor setup, invoice approval, bill posting, and payment release are separated across people.</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Three-way match</w:t>
            </w:r>
          </w:p>
        </w:tc>
        <w:tc>
          <w:tcPr>
            <w:tcW w:type="dxa" w:w="6264"/>
            <w:vAlign w:val="center"/>
          </w:tcPr>
          <w:p>
            <w:pPr>
              <w:spacing w:after="0" w:before="0"/>
            </w:pPr>
            <w:r/>
            <w:r>
              <w:rPr>
                <w:rFonts w:ascii="Calibri" w:hAnsi="Calibri"/>
                <w:b w:val="0"/>
                <w:i w:val="0"/>
                <w:color w:val="2B2B2B"/>
                <w:sz w:val="17"/>
              </w:rPr>
              <w:t>Invoice, purchase order, and receiving record are matched before approval.</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Duplicate-payment controls</w:t>
            </w:r>
          </w:p>
        </w:tc>
        <w:tc>
          <w:tcPr>
            <w:tcW w:type="dxa" w:w="6264"/>
            <w:vAlign w:val="center"/>
          </w:tcPr>
          <w:p>
            <w:pPr>
              <w:spacing w:after="0" w:before="0"/>
            </w:pPr>
            <w:r/>
            <w:r>
              <w:rPr>
                <w:rFonts w:ascii="Calibri" w:hAnsi="Calibri"/>
                <w:b w:val="0"/>
                <w:i w:val="0"/>
                <w:color w:val="2B2B2B"/>
                <w:sz w:val="17"/>
              </w:rPr>
              <w:t>Invoice numbers are checked at intake; paid invoices are marked paid.</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Single intake point; timely posting</w:t>
            </w:r>
          </w:p>
        </w:tc>
        <w:tc>
          <w:tcPr>
            <w:tcW w:type="dxa" w:w="6264"/>
            <w:vAlign w:val="center"/>
          </w:tcPr>
          <w:p>
            <w:pPr>
              <w:spacing w:after="0" w:before="0"/>
            </w:pPr>
            <w:r/>
            <w:r>
              <w:rPr>
                <w:rFonts w:ascii="Calibri" w:hAnsi="Calibri"/>
                <w:b w:val="0"/>
                <w:i w:val="0"/>
                <w:color w:val="2B2B2B"/>
                <w:sz w:val="17"/>
              </w:rPr>
              <w:t>All invoices route through one channel and are posted promptly to the correct period.</w:t>
            </w:r>
          </w:p>
        </w:tc>
        <w:tc>
          <w:tcPr>
            <w:tcW w:type="dxa" w:w="1008"/>
            <w:vAlign w:val="center"/>
          </w:tcPr>
          <w:p>
            <w:pPr>
              <w:spacing w:after="0" w:before="0"/>
            </w:pPr>
            <w:r/>
            <w:r>
              <w:rPr>
                <w:rFonts w:ascii="Calibri" w:hAnsi="Calibri"/>
                <w:b w:val="0"/>
                <w:i w:val="0"/>
                <w:color w:val="2B2B2B"/>
                <w:sz w:val="17"/>
              </w:rPr>
              <w:t>BP</w:t>
            </w:r>
          </w:p>
        </w:tc>
      </w:tr>
      <w:tr>
        <w:tc>
          <w:tcPr>
            <w:tcW w:type="dxa" w:w="2088"/>
            <w:vAlign w:val="center"/>
          </w:tcPr>
          <w:p>
            <w:pPr>
              <w:spacing w:after="0" w:before="0"/>
            </w:pPr>
            <w:r/>
            <w:r>
              <w:rPr>
                <w:rFonts w:ascii="Calibri" w:hAnsi="Calibri"/>
                <w:b/>
                <w:i w:val="0"/>
                <w:color w:val="5A2A4D"/>
                <w:sz w:val="17"/>
              </w:rPr>
              <w:t>Approval thresholds and payment cadence</w:t>
            </w:r>
          </w:p>
        </w:tc>
        <w:tc>
          <w:tcPr>
            <w:tcW w:type="dxa" w:w="6264"/>
            <w:vAlign w:val="center"/>
          </w:tcPr>
          <w:p>
            <w:pPr>
              <w:spacing w:after="0" w:before="0"/>
            </w:pPr>
            <w:r/>
            <w:r>
              <w:rPr>
                <w:rFonts w:ascii="Calibri" w:hAnsi="Calibri"/>
                <w:b w:val="0"/>
                <w:i w:val="0"/>
                <w:color w:val="2B2B2B"/>
                <w:sz w:val="17"/>
              </w:rPr>
              <w:t>Dollar thresholds and payment-run timing are management decisions.</w:t>
            </w:r>
          </w:p>
        </w:tc>
        <w:tc>
          <w:tcPr>
            <w:tcW w:type="dxa" w:w="1008"/>
            <w:vAlign w:val="center"/>
          </w:tcPr>
          <w:p>
            <w:pPr>
              <w:spacing w:after="0" w:before="0"/>
            </w:pPr>
            <w:r/>
            <w:r>
              <w:rPr>
                <w:rFonts w:ascii="Calibri" w:hAnsi="Calibri"/>
                <w:b w:val="0"/>
                <w:i w:val="0"/>
                <w:color w:val="2B2B2B"/>
                <w:sz w:val="17"/>
              </w:rPr>
              <w:t>OP</w:t>
            </w:r>
          </w:p>
        </w:tc>
      </w:tr>
    </w:tbl>
    <w:p>
      <w:pPr>
        <w:spacing w:after="80"/>
      </w:pPr>
      <w:r>
        <w:rPr>
          <w:rFonts w:ascii="Calibri" w:hAnsi="Calibri"/>
          <w:i/>
          <w:color w:val="707070"/>
          <w:sz w:val="17"/>
        </w:rPr>
        <w:t>Applicable state regulations do not prescribe a specific accounts payable workflow; this SOP is internal-control and best-practice based, with the cannabis-specific element being the reconciliation of product invoices to track-and-trace system and receiving records. 280E treatment of expenses and the deductibility of specific costs are tax positions for the engaged CPA. Record-retention periods should be confirmed with cannabis counsel.</w:t>
      </w:r>
    </w:p>
    <w:p>
      <w:pPr>
        <w:spacing w:before="240" w:after="100"/>
        <w:pBdr>
          <w:bottom w:val="single" w:sz="10" w:space="3" w:color="D8C7D1"/>
        </w:pBdr>
      </w:pPr>
      <w:r>
        <w:rPr>
          <w:rFonts w:ascii="Calibri" w:hAnsi="Calibri"/>
          <w:b/>
          <w:color w:val="5A2A4D"/>
          <w:sz w:val="23"/>
          <w:spacing w:val="14"/>
        </w:rPr>
        <w:t>8. Records &amp; Retention</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3384"/>
            <w:shd w:val="clear" w:color="auto" w:fill="5A2A4D"/>
          </w:tcPr>
          <w:p>
            <w:pPr>
              <w:spacing w:after="0" w:before="0"/>
            </w:pPr>
            <w:r/>
            <w:r>
              <w:rPr>
                <w:rFonts w:ascii="Calibri" w:hAnsi="Calibri"/>
                <w:b/>
                <w:i w:val="0"/>
                <w:color w:val="FFFFFF"/>
                <w:sz w:val="16"/>
              </w:rPr>
              <w:t>Record</w:t>
            </w:r>
          </w:p>
        </w:tc>
        <w:tc>
          <w:tcPr>
            <w:tcW w:type="dxa" w:w="3096"/>
            <w:shd w:val="clear" w:color="auto" w:fill="5A2A4D"/>
          </w:tcPr>
          <w:p>
            <w:pPr>
              <w:spacing w:after="0" w:before="0"/>
            </w:pPr>
            <w:r/>
            <w:r>
              <w:rPr>
                <w:rFonts w:ascii="Calibri" w:hAnsi="Calibri"/>
                <w:b/>
                <w:i w:val="0"/>
                <w:color w:val="FFFFFF"/>
                <w:sz w:val="16"/>
              </w:rPr>
              <w:t>Location (document management system)</w:t>
            </w:r>
          </w:p>
        </w:tc>
        <w:tc>
          <w:tcPr>
            <w:tcW w:type="dxa" w:w="2880"/>
            <w:shd w:val="clear" w:color="auto" w:fill="5A2A4D"/>
          </w:tcPr>
          <w:p>
            <w:pPr>
              <w:spacing w:after="0" w:before="0"/>
            </w:pPr>
            <w:r/>
            <w:r>
              <w:rPr>
                <w:rFonts w:ascii="Calibri" w:hAnsi="Calibri"/>
                <w:b/>
                <w:i w:val="0"/>
                <w:color w:val="FFFFFF"/>
                <w:sz w:val="16"/>
              </w:rPr>
              <w:t>Retention</w:t>
            </w:r>
          </w:p>
        </w:tc>
      </w:tr>
      <w:tr>
        <w:tc>
          <w:tcPr>
            <w:tcW w:type="dxa" w:w="3384"/>
            <w:vAlign w:val="center"/>
          </w:tcPr>
          <w:p>
            <w:pPr>
              <w:spacing w:after="0" w:before="0"/>
            </w:pPr>
            <w:r/>
            <w:r>
              <w:rPr>
                <w:rFonts w:ascii="Calibri" w:hAnsi="Calibri"/>
                <w:b/>
                <w:i w:val="0"/>
                <w:color w:val="5A2A4D"/>
                <w:sz w:val="17"/>
              </w:rPr>
              <w:t>Approved invoices &amp; supporting documentation</w:t>
            </w:r>
          </w:p>
        </w:tc>
        <w:tc>
          <w:tcPr>
            <w:tcW w:type="dxa" w:w="3096"/>
            <w:vAlign w:val="center"/>
          </w:tcPr>
          <w:p>
            <w:pPr>
              <w:spacing w:after="0" w:before="0"/>
            </w:pPr>
            <w:r/>
            <w:r>
              <w:rPr>
                <w:rFonts w:ascii="Calibri" w:hAnsi="Calibri"/>
                <w:b w:val="0"/>
                <w:i w:val="0"/>
                <w:color w:val="2B2B2B"/>
                <w:sz w:val="17"/>
              </w:rPr>
              <w:t>05_Accounts Payable / 03_Paid AP</w:t>
            </w:r>
          </w:p>
        </w:tc>
        <w:tc>
          <w:tcPr>
            <w:tcW w:type="dxa" w:w="2880"/>
            <w:vAlign w:val="center"/>
          </w:tcPr>
          <w:p>
            <w:pPr>
              <w:spacing w:after="0" w:before="0"/>
            </w:pPr>
            <w:r/>
            <w:r>
              <w:rPr>
                <w:rFonts w:ascii="Calibri" w:hAnsi="Calibri"/>
                <w:b w:val="0"/>
                <w:i w:val="0"/>
                <w:color w:val="2B2B2B"/>
                <w:sz w:val="17"/>
              </w:rPr>
              <w:t>Min. 7 years; confirm state retention requirements with counsel</w:t>
            </w:r>
          </w:p>
        </w:tc>
      </w:tr>
      <w:tr>
        <w:tc>
          <w:tcPr>
            <w:tcW w:type="dxa" w:w="3384"/>
            <w:vAlign w:val="center"/>
          </w:tcPr>
          <w:p>
            <w:pPr>
              <w:spacing w:after="0" w:before="0"/>
            </w:pPr>
            <w:r/>
            <w:r>
              <w:rPr>
                <w:rFonts w:ascii="Calibri" w:hAnsi="Calibri"/>
                <w:b/>
                <w:i w:val="0"/>
                <w:color w:val="5A2A4D"/>
                <w:sz w:val="17"/>
              </w:rPr>
              <w:t>Open / unpaid invoices</w:t>
            </w:r>
          </w:p>
        </w:tc>
        <w:tc>
          <w:tcPr>
            <w:tcW w:type="dxa" w:w="3096"/>
            <w:vAlign w:val="center"/>
          </w:tcPr>
          <w:p>
            <w:pPr>
              <w:spacing w:after="0" w:before="0"/>
            </w:pPr>
            <w:r/>
            <w:r>
              <w:rPr>
                <w:rFonts w:ascii="Calibri" w:hAnsi="Calibri"/>
                <w:b w:val="0"/>
                <w:i w:val="0"/>
                <w:color w:val="2B2B2B"/>
                <w:sz w:val="17"/>
              </w:rPr>
              <w:t>05_Accounts Payable / 02_Open AP</w:t>
            </w:r>
          </w:p>
        </w:tc>
        <w:tc>
          <w:tcPr>
            <w:tcW w:type="dxa" w:w="2880"/>
            <w:vAlign w:val="center"/>
          </w:tcPr>
          <w:p>
            <w:pPr>
              <w:spacing w:after="0" w:before="0"/>
            </w:pPr>
            <w:r/>
            <w:r>
              <w:rPr>
                <w:rFonts w:ascii="Calibri" w:hAnsi="Calibri"/>
                <w:b w:val="0"/>
                <w:i w:val="0"/>
                <w:color w:val="2B2B2B"/>
                <w:sz w:val="17"/>
              </w:rPr>
              <w:t>Until paid, then filed to Paid AP</w:t>
            </w:r>
          </w:p>
        </w:tc>
      </w:tr>
      <w:tr>
        <w:tc>
          <w:tcPr>
            <w:tcW w:type="dxa" w:w="3384"/>
            <w:vAlign w:val="center"/>
          </w:tcPr>
          <w:p>
            <w:pPr>
              <w:spacing w:after="0" w:before="0"/>
            </w:pPr>
            <w:r/>
            <w:r>
              <w:rPr>
                <w:rFonts w:ascii="Calibri" w:hAnsi="Calibri"/>
                <w:b/>
                <w:i w:val="0"/>
                <w:color w:val="5A2A4D"/>
                <w:sz w:val="17"/>
              </w:rPr>
              <w:t>Invoice approval documentation</w:t>
            </w:r>
          </w:p>
        </w:tc>
        <w:tc>
          <w:tcPr>
            <w:tcW w:type="dxa" w:w="3096"/>
            <w:vAlign w:val="center"/>
          </w:tcPr>
          <w:p>
            <w:pPr>
              <w:spacing w:after="0" w:before="0"/>
            </w:pPr>
            <w:r/>
            <w:r>
              <w:rPr>
                <w:rFonts w:ascii="Calibri" w:hAnsi="Calibri"/>
                <w:b w:val="0"/>
                <w:i w:val="0"/>
                <w:color w:val="2B2B2B"/>
                <w:sz w:val="17"/>
              </w:rPr>
              <w:t>05_Accounts Payable / 05_Approval Documentation</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Recurring bills &amp; subscriptions</w:t>
            </w:r>
          </w:p>
        </w:tc>
        <w:tc>
          <w:tcPr>
            <w:tcW w:type="dxa" w:w="3096"/>
            <w:vAlign w:val="center"/>
          </w:tcPr>
          <w:p>
            <w:pPr>
              <w:spacing w:after="0" w:before="0"/>
            </w:pPr>
            <w:r/>
            <w:r>
              <w:rPr>
                <w:rFonts w:ascii="Calibri" w:hAnsi="Calibri"/>
                <w:b w:val="0"/>
                <w:i w:val="0"/>
                <w:color w:val="2B2B2B"/>
                <w:sz w:val="17"/>
              </w:rPr>
              <w:t>05_Accounts Payable / 06_Recurring Bills &amp; Subscriptions</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AP aging reports</w:t>
            </w:r>
          </w:p>
        </w:tc>
        <w:tc>
          <w:tcPr>
            <w:tcW w:type="dxa" w:w="3096"/>
            <w:vAlign w:val="center"/>
          </w:tcPr>
          <w:p>
            <w:pPr>
              <w:spacing w:after="0" w:before="0"/>
            </w:pPr>
            <w:r/>
            <w:r>
              <w:rPr>
                <w:rFonts w:ascii="Calibri" w:hAnsi="Calibri"/>
                <w:b w:val="0"/>
                <w:i w:val="0"/>
                <w:color w:val="2B2B2B"/>
                <w:sz w:val="17"/>
              </w:rPr>
              <w:t>05_Accounts Payable / 02_Open AP</w:t>
            </w:r>
          </w:p>
        </w:tc>
        <w:tc>
          <w:tcPr>
            <w:tcW w:type="dxa" w:w="2880"/>
            <w:vAlign w:val="center"/>
          </w:tcPr>
          <w:p>
            <w:pPr>
              <w:spacing w:after="0" w:before="0"/>
            </w:pPr>
            <w:r/>
            <w:r>
              <w:rPr>
                <w:rFonts w:ascii="Calibri" w:hAnsi="Calibri"/>
                <w:b w:val="0"/>
                <w:i w:val="0"/>
                <w:color w:val="2B2B2B"/>
                <w:sz w:val="17"/>
              </w:rPr>
              <w:t>Min. 7 years; confirm with counsel</w:t>
            </w:r>
          </w:p>
        </w:tc>
      </w:tr>
    </w:tbl>
    <w:p>
      <w:pPr>
        <w:spacing w:before="240" w:after="100"/>
        <w:pBdr>
          <w:bottom w:val="single" w:sz="10" w:space="3" w:color="D8C7D1"/>
        </w:pBdr>
      </w:pPr>
      <w:r>
        <w:rPr>
          <w:rFonts w:ascii="Calibri" w:hAnsi="Calibri"/>
          <w:b/>
          <w:color w:val="5A2A4D"/>
          <w:sz w:val="23"/>
          <w:spacing w:val="14"/>
        </w:rPr>
        <w:t>9. Exceptions &amp; Escalation</w:t>
      </w:r>
    </w:p>
    <w:p>
      <w:pPr>
        <w:pStyle w:val="ListBullet"/>
        <w:spacing w:after="80"/>
      </w:pPr>
      <w:r>
        <w:rPr>
          <w:rFonts w:ascii="Calibri" w:hAnsi="Calibri"/>
          <w:b w:val="0"/>
          <w:color w:val="2B2B2B"/>
          <w:sz w:val="19"/>
        </w:rPr>
        <w:t>An invoice from a vendor that has not completed onboarding is held and routed to vendor onboarding (SOP 06) before any payment.</w:t>
      </w:r>
    </w:p>
    <w:p>
      <w:pPr>
        <w:pStyle w:val="ListBullet"/>
        <w:spacing w:after="80"/>
      </w:pPr>
      <w:r>
        <w:rPr>
          <w:rFonts w:ascii="Calibri" w:hAnsi="Calibri"/>
          <w:b w:val="0"/>
          <w:color w:val="2B2B2B"/>
          <w:sz w:val="19"/>
        </w:rPr>
        <w:t>An invoice that fails the three-way match is held, and the discrepancy is resolved with the vendor and Requesting Manager before approval.</w:t>
      </w:r>
    </w:p>
    <w:p>
      <w:pPr>
        <w:pStyle w:val="ListBullet"/>
        <w:spacing w:after="80"/>
      </w:pPr>
      <w:r>
        <w:rPr>
          <w:rFonts w:ascii="Calibri" w:hAnsi="Calibri"/>
          <w:b w:val="0"/>
          <w:color w:val="2B2B2B"/>
          <w:sz w:val="19"/>
        </w:rPr>
        <w:t>A suspected duplicate or fraudulent invoice is escalated to Controller and Owner and is not paid pending review.</w:t>
      </w:r>
    </w:p>
    <w:p>
      <w:pPr>
        <w:pStyle w:val="ListBullet"/>
        <w:spacing w:after="80"/>
      </w:pPr>
      <w:r>
        <w:rPr>
          <w:rFonts w:ascii="Calibri" w:hAnsi="Calibri"/>
          <w:b w:val="0"/>
          <w:color w:val="2B2B2B"/>
          <w:sz w:val="19"/>
        </w:rPr>
        <w:t>A request to expedite payment outside the normal run, or to pay without complete documentation, is escalated to Owner and Controller for a decision.</w:t>
      </w:r>
    </w:p>
    <w:p>
      <w:pPr>
        <w:pStyle w:val="ListBullet"/>
        <w:spacing w:after="80"/>
      </w:pPr>
      <w:r>
        <w:rPr>
          <w:rFonts w:ascii="Calibri" w:hAnsi="Calibri"/>
          <w:b w:val="0"/>
          <w:color w:val="2B2B2B"/>
          <w:sz w:val="19"/>
        </w:rPr>
        <w:t>Vendor obligations that cannot be met within terms are escalated to Owner with the AP aging for a cash-flow decision.</w:t>
      </w:r>
    </w:p>
    <w:p>
      <w:pPr>
        <w:spacing w:before="240" w:after="100"/>
        <w:pBdr>
          <w:bottom w:val="single" w:sz="10" w:space="3" w:color="D8C7D1"/>
        </w:pBdr>
      </w:pPr>
      <w:r>
        <w:rPr>
          <w:rFonts w:ascii="Calibri" w:hAnsi="Calibri"/>
          <w:b/>
          <w:color w:val="5A2A4D"/>
          <w:sz w:val="23"/>
          <w:spacing w:val="14"/>
        </w:rPr>
        <w:t>10. Revision History</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440"/>
            <w:shd w:val="clear" w:color="auto" w:fill="5A2A4D"/>
          </w:tcPr>
          <w:p>
            <w:pPr>
              <w:spacing w:after="0" w:before="0"/>
            </w:pPr>
            <w:r/>
            <w:r>
              <w:rPr>
                <w:rFonts w:ascii="Calibri" w:hAnsi="Calibri"/>
                <w:b/>
                <w:i w:val="0"/>
                <w:color w:val="FFFFFF"/>
                <w:sz w:val="16"/>
              </w:rPr>
              <w:t>Version</w:t>
            </w:r>
          </w:p>
        </w:tc>
        <w:tc>
          <w:tcPr>
            <w:tcW w:type="dxa" w:w="1656"/>
            <w:shd w:val="clear" w:color="auto" w:fill="5A2A4D"/>
          </w:tcPr>
          <w:p>
            <w:pPr>
              <w:spacing w:after="0" w:before="0"/>
            </w:pPr>
            <w:r/>
            <w:r>
              <w:rPr>
                <w:rFonts w:ascii="Calibri" w:hAnsi="Calibri"/>
                <w:b/>
                <w:i w:val="0"/>
                <w:color w:val="FFFFFF"/>
                <w:sz w:val="16"/>
              </w:rPr>
              <w:t>Date</w:t>
            </w:r>
          </w:p>
        </w:tc>
        <w:tc>
          <w:tcPr>
            <w:tcW w:type="dxa" w:w="2376"/>
            <w:shd w:val="clear" w:color="auto" w:fill="5A2A4D"/>
          </w:tcPr>
          <w:p>
            <w:pPr>
              <w:spacing w:after="0" w:before="0"/>
            </w:pPr>
            <w:r/>
            <w:r>
              <w:rPr>
                <w:rFonts w:ascii="Calibri" w:hAnsi="Calibri"/>
                <w:b/>
                <w:i w:val="0"/>
                <w:color w:val="FFFFFF"/>
                <w:sz w:val="16"/>
              </w:rPr>
              <w:t>Author</w:t>
            </w:r>
          </w:p>
        </w:tc>
        <w:tc>
          <w:tcPr>
            <w:tcW w:type="dxa" w:w="3888"/>
            <w:shd w:val="clear" w:color="auto" w:fill="5A2A4D"/>
          </w:tcPr>
          <w:p>
            <w:pPr>
              <w:spacing w:after="0" w:before="0"/>
            </w:pPr>
            <w:r/>
            <w:r>
              <w:rPr>
                <w:rFonts w:ascii="Calibri" w:hAnsi="Calibri"/>
                <w:b/>
                <w:i w:val="0"/>
                <w:color w:val="FFFFFF"/>
                <w:sz w:val="16"/>
              </w:rPr>
              <w:t>Change</w:t>
            </w:r>
          </w:p>
        </w:tc>
      </w:tr>
      <w:tr>
        <w:tc>
          <w:tcPr>
            <w:tcW w:type="dxa" w:w="1440"/>
            <w:vAlign w:val="center"/>
          </w:tcPr>
          <w:p>
            <w:pPr>
              <w:spacing w:after="0" w:before="0"/>
            </w:pPr>
            <w:r/>
            <w:r>
              <w:rPr>
                <w:rFonts w:ascii="Calibri" w:hAnsi="Calibri"/>
                <w:b/>
                <w:i w:val="0"/>
                <w:color w:val="5A2A4D"/>
                <w:sz w:val="17"/>
              </w:rPr>
              <w:t>Sample v1.0</w:t>
            </w:r>
          </w:p>
        </w:tc>
        <w:tc>
          <w:tcPr>
            <w:tcW w:type="dxa" w:w="1656"/>
            <w:vAlign w:val="center"/>
          </w:tcPr>
          <w:p>
            <w:pPr>
              <w:spacing w:after="0" w:before="0"/>
            </w:pPr>
            <w:r/>
            <w:r>
              <w:rPr>
                <w:rFonts w:ascii="Calibri" w:hAnsi="Calibri"/>
                <w:b w:val="0"/>
                <w:i w:val="0"/>
                <w:color w:val="2B2B2B"/>
                <w:sz w:val="17"/>
              </w:rPr>
              <w:t>2026-05-21</w:t>
            </w:r>
          </w:p>
        </w:tc>
        <w:tc>
          <w:tcPr>
            <w:tcW w:type="dxa" w:w="2376"/>
            <w:vAlign w:val="center"/>
          </w:tcPr>
          <w:p>
            <w:pPr>
              <w:spacing w:after="0" w:before="0"/>
            </w:pPr>
            <w:r/>
            <w:r>
              <w:rPr>
                <w:rFonts w:ascii="Calibri" w:hAnsi="Calibri"/>
                <w:b w:val="0"/>
                <w:i w:val="0"/>
                <w:color w:val="2B2B2B"/>
                <w:sz w:val="17"/>
              </w:rPr>
              <w:t>Controller</w:t>
            </w:r>
          </w:p>
        </w:tc>
        <w:tc>
          <w:tcPr>
            <w:tcW w:type="dxa" w:w="3888"/>
            <w:vAlign w:val="center"/>
          </w:tcPr>
          <w:p>
            <w:pPr>
              <w:spacing w:after="0" w:before="0"/>
            </w:pPr>
            <w:r/>
            <w:r>
              <w:rPr>
                <w:rFonts w:ascii="Calibri" w:hAnsi="Calibri"/>
                <w:b w:val="0"/>
                <w:i w:val="0"/>
                <w:color w:val="2B2B2B"/>
                <w:sz w:val="17"/>
              </w:rPr>
              <w:t>Training example for the Financial Foundations cohort.</w:t>
            </w:r>
          </w:p>
        </w:tc>
      </w:tr>
    </w:tbl>
    <w:p>
      <w:r/>
    </w:p>
    <w:p>
      <w:pPr>
        <w:spacing w:after="40"/>
      </w:pPr>
      <w:r>
        <w:rPr>
          <w:rFonts w:ascii="Calibri" w:hAnsi="Calibri"/>
          <w:b/>
          <w:color w:val="707070"/>
          <w:sz w:val="16"/>
          <w:spacing w:val="30"/>
        </w:rPr>
        <w:t>FINANCIAL FOUNDATIONS · STANDARD OPERATING PROCEDURE EXAMPLE — FOR TRAINING USE</w:t>
      </w:r>
    </w:p>
    <w:p>
      <w:pPr>
        <w:spacing w:after="20"/>
      </w:pPr>
      <w:r>
        <w:rPr>
          <w:rFonts w:ascii="Calibri" w:hAnsi="Calibri"/>
          <w:b/>
          <w:color w:val="5A2A4D"/>
          <w:sz w:val="48"/>
        </w:rPr>
        <w:t>Vendor Onboarding</w:t>
      </w:r>
    </w:p>
    <w:p>
      <w:pPr>
        <w:spacing w:after="120"/>
        <w:pBdr>
          <w:bottom w:val="single" w:sz="10" w:space="3" w:color="D8C7D1"/>
        </w:pBdr>
      </w:pPr>
      <w:r>
        <w:rPr>
          <w:rFonts w:ascii="Calibri" w:hAnsi="Calibri"/>
          <w:color w:val="2B2B2B"/>
          <w:sz w:val="24"/>
        </w:rPr>
        <w:t>Priority-1 Standard Operating Procedure · the Company</w:t>
      </w:r>
    </w:p>
    <w:p>
      <w:pPr>
        <w:spacing w:after="180"/>
      </w:pPr>
      <w:r>
        <w:rPr>
          <w:rFonts w:ascii="Calibri" w:hAnsi="Calibri"/>
          <w:i/>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800"/>
            <w:shd w:val="clear" w:color="auto" w:fill="EFE3EA"/>
          </w:tcPr>
          <w:p>
            <w:pPr>
              <w:spacing w:after="0" w:before="0"/>
            </w:pPr>
            <w:r/>
            <w:r>
              <w:rPr>
                <w:rFonts w:ascii="Calibri" w:hAnsi="Calibri"/>
                <w:b/>
                <w:i w:val="0"/>
                <w:color w:val="5A2A4D"/>
                <w:sz w:val="18"/>
              </w:rPr>
              <w:t>SOP ID</w:t>
            </w:r>
          </w:p>
        </w:tc>
        <w:tc>
          <w:tcPr>
            <w:tcW w:type="dxa" w:w="2880"/>
          </w:tcPr>
          <w:p>
            <w:pPr>
              <w:spacing w:after="0" w:before="0"/>
            </w:pPr>
            <w:r>
              <w:t xml:space="preserve">SOP </w:t>
            </w:r>
            <w:r>
              <w:rPr>
                <w:rFonts w:ascii="Calibri" w:hAnsi="Calibri"/>
                <w:b w:val="0"/>
                <w:i w:val="0"/>
                <w:color w:val="2B2B2B"/>
                <w:sz w:val="18"/>
              </w:rPr>
              <w:t>06 — Vendor Onboarding</w:t>
            </w:r>
          </w:p>
        </w:tc>
        <w:tc>
          <w:tcPr>
            <w:tcW w:type="dxa" w:w="1800"/>
            <w:shd w:val="clear" w:color="auto" w:fill="EFE3EA"/>
          </w:tcPr>
          <w:p>
            <w:pPr>
              <w:spacing w:after="0" w:before="0"/>
            </w:pPr>
            <w:r/>
            <w:r>
              <w:rPr>
                <w:rFonts w:ascii="Calibri" w:hAnsi="Calibri"/>
                <w:b/>
                <w:i w:val="0"/>
                <w:color w:val="5A2A4D"/>
                <w:sz w:val="18"/>
              </w:rPr>
              <w:t>Version</w:t>
            </w:r>
          </w:p>
        </w:tc>
        <w:tc>
          <w:tcPr>
            <w:tcW w:type="dxa" w:w="2880"/>
          </w:tcPr>
          <w:p>
            <w:pPr>
              <w:spacing w:after="0" w:before="0"/>
            </w:pPr>
            <w:r/>
            <w:r>
              <w:rPr>
                <w:rFonts w:ascii="Calibri" w:hAnsi="Calibri"/>
                <w:b w:val="0"/>
                <w:i w:val="0"/>
                <w:color w:val="2B2B2B"/>
                <w:sz w:val="18"/>
              </w:rPr>
              <w:t>Sample v1.0</w:t>
            </w:r>
          </w:p>
        </w:tc>
      </w:tr>
      <w:tr>
        <w:tc>
          <w:tcPr>
            <w:tcW w:type="dxa" w:w="1800"/>
            <w:shd w:val="clear" w:color="auto" w:fill="EFE3EA"/>
          </w:tcPr>
          <w:p>
            <w:pPr>
              <w:spacing w:after="0" w:before="0"/>
            </w:pPr>
            <w:r/>
            <w:r>
              <w:rPr>
                <w:rFonts w:ascii="Calibri" w:hAnsi="Calibri"/>
                <w:b/>
                <w:i w:val="0"/>
                <w:color w:val="5A2A4D"/>
                <w:sz w:val="18"/>
              </w:rPr>
              <w:t>Process Owner</w:t>
            </w:r>
          </w:p>
        </w:tc>
        <w:tc>
          <w:tcPr>
            <w:tcW w:type="dxa" w:w="2880"/>
          </w:tcPr>
          <w:p>
            <w:pPr>
              <w:spacing w:after="0" w:before="0"/>
            </w:pPr>
            <w:r/>
            <w:r>
              <w:rPr>
                <w:rFonts w:ascii="Calibri" w:hAnsi="Calibri"/>
                <w:b w:val="0"/>
                <w:i w:val="0"/>
                <w:color w:val="2B2B2B"/>
                <w:sz w:val="18"/>
              </w:rPr>
              <w:t>Accounting (Bookkeeper / In-House Lead)</w:t>
            </w:r>
          </w:p>
        </w:tc>
        <w:tc>
          <w:tcPr>
            <w:tcW w:type="dxa" w:w="1800"/>
            <w:shd w:val="clear" w:color="auto" w:fill="EFE3EA"/>
          </w:tcPr>
          <w:p>
            <w:pPr>
              <w:spacing w:after="0" w:before="0"/>
            </w:pPr>
            <w:r/>
            <w:r>
              <w:rPr>
                <w:rFonts w:ascii="Calibri" w:hAnsi="Calibri"/>
                <w:b/>
                <w:i w:val="0"/>
                <w:color w:val="5A2A4D"/>
                <w:sz w:val="18"/>
              </w:rPr>
              <w:t>Effective Date</w:t>
            </w:r>
          </w:p>
        </w:tc>
        <w:tc>
          <w:tcPr>
            <w:tcW w:type="dxa" w:w="2880"/>
          </w:tcPr>
          <w:p>
            <w:pPr>
              <w:spacing w:after="0" w:before="0"/>
            </w:pPr>
            <w:r/>
            <w:r>
              <w:rPr>
                <w:rFonts w:ascii="Calibri" w:hAnsi="Calibri"/>
                <w:b w:val="0"/>
                <w:i w:val="0"/>
                <w:color w:val="2B2B2B"/>
                <w:sz w:val="18"/>
              </w:rPr>
              <w:t>Sample — training use</w:t>
            </w:r>
          </w:p>
        </w:tc>
      </w:tr>
      <w:tr>
        <w:tc>
          <w:tcPr>
            <w:tcW w:type="dxa" w:w="1800"/>
            <w:shd w:val="clear" w:color="auto" w:fill="EFE3EA"/>
          </w:tcPr>
          <w:p>
            <w:pPr>
              <w:spacing w:after="0" w:before="0"/>
            </w:pPr>
            <w:r/>
            <w:r>
              <w:rPr>
                <w:rFonts w:ascii="Calibri" w:hAnsi="Calibri"/>
                <w:b/>
                <w:i w:val="0"/>
                <w:color w:val="5A2A4D"/>
                <w:sz w:val="18"/>
              </w:rPr>
              <w:t>Prepared By</w:t>
            </w:r>
          </w:p>
        </w:tc>
        <w:tc>
          <w:tcPr>
            <w:tcW w:type="dxa" w:w="2880"/>
          </w:tcPr>
          <w:p>
            <w:pPr>
              <w:spacing w:after="0" w:before="0"/>
            </w:pPr>
            <w:r/>
            <w:r>
              <w:rPr>
                <w:rFonts w:ascii="Calibri" w:hAnsi="Calibri"/>
                <w:b w:val="0"/>
                <w:i w:val="0"/>
                <w:color w:val="2B2B2B"/>
                <w:sz w:val="18"/>
              </w:rPr>
              <w:t>Controller</w:t>
            </w:r>
          </w:p>
        </w:tc>
        <w:tc>
          <w:tcPr>
            <w:tcW w:type="dxa" w:w="1800"/>
            <w:shd w:val="clear" w:color="auto" w:fill="EFE3EA"/>
          </w:tcPr>
          <w:p>
            <w:pPr>
              <w:spacing w:after="0" w:before="0"/>
            </w:pPr>
            <w:r/>
            <w:r>
              <w:rPr>
                <w:rFonts w:ascii="Calibri" w:hAnsi="Calibri"/>
                <w:b/>
                <w:i w:val="0"/>
                <w:color w:val="5A2A4D"/>
                <w:sz w:val="18"/>
              </w:rPr>
              <w:t>Review Cadence</w:t>
            </w:r>
          </w:p>
        </w:tc>
        <w:tc>
          <w:tcPr>
            <w:tcW w:type="dxa" w:w="2880"/>
          </w:tcPr>
          <w:p>
            <w:pPr>
              <w:spacing w:after="0" w:before="0"/>
            </w:pPr>
            <w:r/>
            <w:r>
              <w:rPr>
                <w:rFonts w:ascii="Calibri" w:hAnsi="Calibri"/>
                <w:b w:val="0"/>
                <w:i w:val="0"/>
                <w:color w:val="2B2B2B"/>
                <w:sz w:val="18"/>
              </w:rPr>
              <w:t>Annual, or on process change</w:t>
            </w:r>
          </w:p>
        </w:tc>
      </w:tr>
    </w:tbl>
    <w:p>
      <w:pPr>
        <w:spacing w:before="240" w:after="100"/>
        <w:pBdr>
          <w:bottom w:val="single" w:sz="10" w:space="3" w:color="D8C7D1"/>
        </w:pBdr>
      </w:pPr>
      <w:r>
        <w:rPr>
          <w:rFonts w:ascii="Calibri" w:hAnsi="Calibri"/>
          <w:b/>
          <w:color w:val="5A2A4D"/>
          <w:sz w:val="23"/>
          <w:spacing w:val="14"/>
        </w:rPr>
        <w:t>1. Purpose</w:t>
      </w:r>
    </w:p>
    <w:p>
      <w:pPr>
        <w:spacing w:after="120"/>
      </w:pPr>
      <w:r>
        <w:rPr>
          <w:rFonts w:ascii="Calibri" w:hAnsi="Calibri"/>
          <w:i w:val="0"/>
          <w:color w:val="2B2B2B"/>
          <w:sz w:val="21"/>
        </w:rPr>
        <w:t>This procedure establishes how Company vets and sets up a vendor before any purchase order is issued or any invoice is paid. Consistent vendor onboarding prevents payments to fictitious or unverified vendors, ensures the tax documentation needed for year-end 1099 reporting is collected up front, and — for cannabis product vendors — confirms the vendor holds applicable state license required before any regulated product changes hands. A vendor is not eligible for payment until onboarding is complete.</w:t>
      </w:r>
    </w:p>
    <w:p>
      <w:pPr>
        <w:spacing w:before="240" w:after="100"/>
        <w:pBdr>
          <w:bottom w:val="single" w:sz="10" w:space="3" w:color="D8C7D1"/>
        </w:pBdr>
      </w:pPr>
      <w:r>
        <w:rPr>
          <w:rFonts w:ascii="Calibri" w:hAnsi="Calibri"/>
          <w:b/>
          <w:color w:val="5A2A4D"/>
          <w:sz w:val="23"/>
          <w:spacing w:val="14"/>
        </w:rPr>
        <w:t>2. Scope</w:t>
      </w:r>
    </w:p>
    <w:p>
      <w:pPr>
        <w:spacing w:after="120"/>
      </w:pPr>
      <w:r>
        <w:rPr>
          <w:rFonts w:ascii="Calibri" w:hAnsi="Calibri"/>
          <w:i w:val="0"/>
          <w:color w:val="2B2B2B"/>
          <w:sz w:val="21"/>
        </w:rPr>
        <w:t>This procedure applies to every vendor Company intends to do business with — cannabis product vendors (licensed growers and processors), service vendors, and supply vendors. It runs from the initial vendor request through approval and setup in the vendor master file and QuickBooks Online, and covers the documentation collected, the verification performed, and the controls over adding and changing vendor records. Invoice processing and payment are covered in SOP 05; purchasing approvals are covered in SOP 04.</w:t>
      </w:r>
    </w:p>
    <w:p>
      <w:pPr>
        <w:spacing w:before="240" w:after="100"/>
        <w:pBdr>
          <w:bottom w:val="single" w:sz="10" w:space="3" w:color="D8C7D1"/>
        </w:pBdr>
      </w:pPr>
      <w:r>
        <w:rPr>
          <w:rFonts w:ascii="Calibri" w:hAnsi="Calibri"/>
          <w:b/>
          <w:color w:val="5A2A4D"/>
          <w:sz w:val="23"/>
          <w:spacing w:val="14"/>
        </w:rPr>
        <w:t>3. Definitions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376"/>
            <w:shd w:val="clear" w:color="auto" w:fill="5A2A4D"/>
          </w:tcPr>
          <w:p>
            <w:pPr>
              <w:spacing w:after="0" w:before="0"/>
            </w:pPr>
            <w:r/>
            <w:r>
              <w:rPr>
                <w:rFonts w:ascii="Calibri" w:hAnsi="Calibri"/>
                <w:b/>
                <w:i w:val="0"/>
                <w:color w:val="FFFFFF"/>
                <w:sz w:val="17"/>
              </w:rPr>
              <w:t>Term</w:t>
            </w:r>
          </w:p>
        </w:tc>
        <w:tc>
          <w:tcPr>
            <w:tcW w:type="dxa" w:w="6984"/>
            <w:shd w:val="clear" w:color="auto" w:fill="5A2A4D"/>
          </w:tcPr>
          <w:p>
            <w:pPr>
              <w:spacing w:after="0" w:before="0"/>
            </w:pPr>
            <w:r/>
            <w:r>
              <w:rPr>
                <w:rFonts w:ascii="Calibri" w:hAnsi="Calibri"/>
                <w:b/>
                <w:i w:val="0"/>
                <w:color w:val="FFFFFF"/>
                <w:sz w:val="17"/>
              </w:rPr>
              <w:t>Definition</w:t>
            </w:r>
          </w:p>
        </w:tc>
      </w:tr>
      <w:tr>
        <w:tc>
          <w:tcPr>
            <w:tcW w:type="dxa" w:w="2376"/>
            <w:vAlign w:val="center"/>
          </w:tcPr>
          <w:p>
            <w:pPr>
              <w:spacing w:after="0" w:before="0"/>
            </w:pPr>
            <w:r/>
            <w:r>
              <w:rPr>
                <w:rFonts w:ascii="Calibri" w:hAnsi="Calibri"/>
                <w:b/>
                <w:i w:val="0"/>
                <w:color w:val="5A2A4D"/>
                <w:sz w:val="18"/>
              </w:rPr>
              <w:t>Vendor Master File</w:t>
            </w:r>
          </w:p>
        </w:tc>
        <w:tc>
          <w:tcPr>
            <w:tcW w:type="dxa" w:w="6984"/>
            <w:vAlign w:val="center"/>
          </w:tcPr>
          <w:p>
            <w:pPr>
              <w:spacing w:after="0" w:before="0"/>
            </w:pPr>
            <w:r/>
            <w:r>
              <w:rPr>
                <w:rFonts w:ascii="Calibri" w:hAnsi="Calibri"/>
                <w:b w:val="0"/>
                <w:i w:val="0"/>
                <w:color w:val="2B2B2B"/>
                <w:sz w:val="18"/>
              </w:rPr>
              <w:t>The controlled list of approved vendors and their details — tax ID, remittance, and contact information.</w:t>
            </w:r>
          </w:p>
        </w:tc>
      </w:tr>
      <w:tr>
        <w:tc>
          <w:tcPr>
            <w:tcW w:type="dxa" w:w="2376"/>
            <w:vAlign w:val="center"/>
          </w:tcPr>
          <w:p>
            <w:pPr>
              <w:spacing w:after="0" w:before="0"/>
            </w:pPr>
            <w:r/>
            <w:r>
              <w:rPr>
                <w:rFonts w:ascii="Calibri" w:hAnsi="Calibri"/>
                <w:b/>
                <w:i w:val="0"/>
                <w:color w:val="5A2A4D"/>
                <w:sz w:val="18"/>
              </w:rPr>
              <w:t>W-9</w:t>
            </w:r>
          </w:p>
        </w:tc>
        <w:tc>
          <w:tcPr>
            <w:tcW w:type="dxa" w:w="6984"/>
            <w:vAlign w:val="center"/>
          </w:tcPr>
          <w:p>
            <w:pPr>
              <w:spacing w:after="0" w:before="0"/>
            </w:pPr>
            <w:r/>
            <w:r>
              <w:rPr>
                <w:rFonts w:ascii="Calibri" w:hAnsi="Calibri"/>
                <w:b w:val="0"/>
                <w:i w:val="0"/>
                <w:color w:val="2B2B2B"/>
                <w:sz w:val="18"/>
              </w:rPr>
              <w:t>The IRS form collected from a U.S. vendor providing the legal name and taxpayer identification number needed for 1099 reporting.</w:t>
            </w:r>
          </w:p>
        </w:tc>
      </w:tr>
      <w:tr>
        <w:tc>
          <w:tcPr>
            <w:tcW w:type="dxa" w:w="2376"/>
            <w:vAlign w:val="center"/>
          </w:tcPr>
          <w:p>
            <w:pPr>
              <w:spacing w:after="0" w:before="0"/>
            </w:pPr>
            <w:r/>
            <w:r>
              <w:rPr>
                <w:rFonts w:ascii="Calibri" w:hAnsi="Calibri"/>
                <w:b/>
                <w:i w:val="0"/>
                <w:color w:val="5A2A4D"/>
                <w:sz w:val="18"/>
              </w:rPr>
              <w:t>Cannabis Product Vendor</w:t>
            </w:r>
          </w:p>
        </w:tc>
        <w:tc>
          <w:tcPr>
            <w:tcW w:type="dxa" w:w="6984"/>
            <w:vAlign w:val="center"/>
          </w:tcPr>
          <w:p>
            <w:pPr>
              <w:spacing w:after="0" w:before="0"/>
            </w:pPr>
            <w:r/>
            <w:r>
              <w:rPr>
                <w:rFonts w:ascii="Calibri" w:hAnsi="Calibri"/>
                <w:b w:val="0"/>
                <w:i w:val="0"/>
                <w:color w:val="2B2B2B"/>
                <w:sz w:val="18"/>
              </w:rPr>
              <w:t>A licensed grower or processor from which the business obtains cannabis or cannabis products.</w:t>
            </w:r>
          </w:p>
        </w:tc>
      </w:tr>
      <w:tr>
        <w:tc>
          <w:tcPr>
            <w:tcW w:type="dxa" w:w="2376"/>
            <w:vAlign w:val="center"/>
          </w:tcPr>
          <w:p>
            <w:pPr>
              <w:spacing w:after="0" w:before="0"/>
            </w:pPr>
            <w:r/>
            <w:r>
              <w:rPr>
                <w:rFonts w:ascii="Calibri" w:hAnsi="Calibri"/>
                <w:b/>
                <w:i w:val="0"/>
                <w:color w:val="5A2A4D"/>
                <w:sz w:val="18"/>
              </w:rPr>
              <w:t>Licensed Source</w:t>
            </w:r>
          </w:p>
        </w:tc>
        <w:tc>
          <w:tcPr>
            <w:tcW w:type="dxa" w:w="6984"/>
            <w:vAlign w:val="center"/>
          </w:tcPr>
          <w:p>
            <w:pPr>
              <w:spacing w:after="0" w:before="0"/>
            </w:pPr>
            <w:r/>
            <w:r>
              <w:rPr>
                <w:rFonts w:ascii="Calibri" w:hAnsi="Calibri"/>
                <w:b w:val="0"/>
                <w:i w:val="0"/>
                <w:color w:val="2B2B2B"/>
                <w:sz w:val="18"/>
              </w:rPr>
              <w:t>A business holding a current state cannabis regulator license authorizing it to supply cannabis.</w:t>
            </w:r>
          </w:p>
        </w:tc>
      </w:tr>
      <w:tr>
        <w:tc>
          <w:tcPr>
            <w:tcW w:type="dxa" w:w="2376"/>
            <w:vAlign w:val="center"/>
          </w:tcPr>
          <w:p>
            <w:pPr>
              <w:spacing w:after="0" w:before="0"/>
            </w:pPr>
            <w:r/>
            <w:r>
              <w:rPr>
                <w:rFonts w:ascii="Calibri" w:hAnsi="Calibri"/>
                <w:b/>
                <w:i w:val="0"/>
                <w:color w:val="5A2A4D"/>
                <w:sz w:val="18"/>
              </w:rPr>
              <w:t>Transfer Manifest</w:t>
            </w:r>
          </w:p>
        </w:tc>
        <w:tc>
          <w:tcPr>
            <w:tcW w:type="dxa" w:w="6984"/>
            <w:vAlign w:val="center"/>
          </w:tcPr>
          <w:p>
            <w:pPr>
              <w:spacing w:after="0" w:before="0"/>
            </w:pPr>
            <w:r/>
            <w:r>
              <w:rPr>
                <w:rFonts w:ascii="Calibri" w:hAnsi="Calibri"/>
                <w:b w:val="0"/>
                <w:i w:val="0"/>
                <w:color w:val="2B2B2B"/>
                <w:sz w:val="18"/>
              </w:rPr>
              <w:t>Track-and-trace system record documenting a transfer of cannabis between licensees.</w:t>
            </w:r>
          </w:p>
        </w:tc>
      </w:tr>
      <w:tr>
        <w:tc>
          <w:tcPr>
            <w:tcW w:type="dxa" w:w="2376"/>
            <w:vAlign w:val="center"/>
          </w:tcPr>
          <w:p>
            <w:pPr>
              <w:spacing w:after="0" w:before="0"/>
            </w:pPr>
            <w:r/>
            <w:r>
              <w:rPr>
                <w:rFonts w:ascii="Calibri" w:hAnsi="Calibri"/>
                <w:b/>
                <w:i w:val="0"/>
                <w:color w:val="5A2A4D"/>
                <w:sz w:val="18"/>
              </w:rPr>
              <w:t>Common Ownership</w:t>
            </w:r>
          </w:p>
        </w:tc>
        <w:tc>
          <w:tcPr>
            <w:tcW w:type="dxa" w:w="6984"/>
            <w:vAlign w:val="center"/>
          </w:tcPr>
          <w:p>
            <w:pPr>
              <w:spacing w:after="0" w:before="0"/>
            </w:pPr>
            <w:r/>
            <w:r>
              <w:rPr>
                <w:rFonts w:ascii="Calibri" w:hAnsi="Calibri"/>
                <w:b w:val="0"/>
                <w:i w:val="0"/>
                <w:color w:val="2B2B2B"/>
                <w:sz w:val="18"/>
              </w:rPr>
              <w:t>A shared ownership interest or control between Company and a vendor, relevant to applicable state trade-practice rules.</w:t>
            </w:r>
          </w:p>
        </w:tc>
      </w:tr>
    </w:tbl>
    <w:p>
      <w:pPr>
        <w:spacing w:before="240" w:after="100"/>
        <w:pBdr>
          <w:bottom w:val="single" w:sz="10" w:space="3" w:color="D8C7D1"/>
        </w:pBdr>
      </w:pPr>
      <w:r>
        <w:rPr>
          <w:rFonts w:ascii="Calibri" w:hAnsi="Calibri"/>
          <w:b/>
          <w:color w:val="5A2A4D"/>
          <w:sz w:val="23"/>
          <w:spacing w:val="14"/>
        </w:rPr>
        <w:t>4. Roles &amp; Responsibilities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808"/>
            <w:shd w:val="clear" w:color="auto" w:fill="5A2A4D"/>
          </w:tcPr>
          <w:p>
            <w:pPr>
              <w:spacing w:after="0" w:before="0"/>
            </w:pPr>
            <w:r/>
            <w:r>
              <w:rPr>
                <w:rFonts w:ascii="Calibri" w:hAnsi="Calibri"/>
                <w:b/>
                <w:i w:val="0"/>
                <w:color w:val="FFFFFF"/>
                <w:sz w:val="17"/>
              </w:rPr>
              <w:t>Role</w:t>
            </w:r>
          </w:p>
        </w:tc>
        <w:tc>
          <w:tcPr>
            <w:tcW w:type="dxa" w:w="6552"/>
            <w:shd w:val="clear" w:color="auto" w:fill="5A2A4D"/>
          </w:tcPr>
          <w:p>
            <w:pPr>
              <w:spacing w:after="0" w:before="0"/>
            </w:pPr>
            <w:r/>
            <w:r>
              <w:rPr>
                <w:rFonts w:ascii="Calibri" w:hAnsi="Calibri"/>
                <w:b/>
                <w:i w:val="0"/>
                <w:color w:val="FFFFFF"/>
                <w:sz w:val="17"/>
              </w:rPr>
              <w:t>Responsibility</w:t>
            </w:r>
          </w:p>
        </w:tc>
      </w:tr>
      <w:tr>
        <w:tc>
          <w:tcPr>
            <w:tcW w:type="dxa" w:w="2808"/>
            <w:vAlign w:val="center"/>
          </w:tcPr>
          <w:p>
            <w:pPr>
              <w:spacing w:after="0" w:before="0"/>
            </w:pPr>
            <w:r/>
            <w:r>
              <w:rPr>
                <w:rFonts w:ascii="Calibri" w:hAnsi="Calibri"/>
                <w:b/>
                <w:i w:val="0"/>
                <w:color w:val="5A2A4D"/>
                <w:sz w:val="18"/>
              </w:rPr>
              <w:t>Requesting Manager</w:t>
            </w:r>
          </w:p>
        </w:tc>
        <w:tc>
          <w:tcPr>
            <w:tcW w:type="dxa" w:w="6552"/>
            <w:vAlign w:val="center"/>
          </w:tcPr>
          <w:p>
            <w:pPr>
              <w:spacing w:after="0" w:before="0"/>
            </w:pPr>
            <w:r/>
            <w:r>
              <w:rPr>
                <w:rFonts w:ascii="Calibri" w:hAnsi="Calibri"/>
                <w:b w:val="0"/>
                <w:i w:val="0"/>
                <w:color w:val="2B2B2B"/>
                <w:sz w:val="18"/>
              </w:rPr>
              <w:t>Identifies the need for a new vendor and submits the vendor request with initial vendor information.</w:t>
            </w:r>
          </w:p>
        </w:tc>
      </w:tr>
      <w:tr>
        <w:tc>
          <w:tcPr>
            <w:tcW w:type="dxa" w:w="2808"/>
            <w:vAlign w:val="center"/>
          </w:tcPr>
          <w:p>
            <w:pPr>
              <w:spacing w:after="0" w:before="0"/>
            </w:pPr>
            <w:r/>
            <w:r>
              <w:rPr>
                <w:rFonts w:ascii="Calibri" w:hAnsi="Calibri"/>
                <w:b/>
                <w:i w:val="0"/>
                <w:color w:val="5A2A4D"/>
                <w:sz w:val="18"/>
              </w:rPr>
              <w:t>Accounting (the outsourced accounting provider / in-house lead)</w:t>
            </w:r>
          </w:p>
        </w:tc>
        <w:tc>
          <w:tcPr>
            <w:tcW w:type="dxa" w:w="6552"/>
            <w:vAlign w:val="center"/>
          </w:tcPr>
          <w:p>
            <w:pPr>
              <w:spacing w:after="0" w:before="0"/>
            </w:pPr>
            <w:r/>
            <w:r>
              <w:rPr>
                <w:rFonts w:ascii="Calibri" w:hAnsi="Calibri"/>
                <w:b w:val="0"/>
                <w:i w:val="0"/>
                <w:color w:val="2B2B2B"/>
                <w:sz w:val="18"/>
              </w:rPr>
              <w:t>Collects and reviews onboarding documentation; sets up the approved vendor in the master file and QBO; maintains W-9 and 1099 tracking.</w:t>
            </w:r>
          </w:p>
        </w:tc>
      </w:tr>
      <w:tr>
        <w:tc>
          <w:tcPr>
            <w:tcW w:type="dxa" w:w="2808"/>
            <w:vAlign w:val="center"/>
          </w:tcPr>
          <w:p>
            <w:pPr>
              <w:spacing w:after="0" w:before="0"/>
            </w:pPr>
            <w:r/>
            <w:r>
              <w:rPr>
                <w:rFonts w:ascii="Calibri" w:hAnsi="Calibri"/>
                <w:b/>
                <w:i w:val="0"/>
                <w:color w:val="5A2A4D"/>
                <w:sz w:val="18"/>
              </w:rPr>
              <w:t>Inventory / Purchasing Lead</w:t>
            </w:r>
          </w:p>
        </w:tc>
        <w:tc>
          <w:tcPr>
            <w:tcW w:type="dxa" w:w="6552"/>
            <w:vAlign w:val="center"/>
          </w:tcPr>
          <w:p>
            <w:pPr>
              <w:spacing w:after="0" w:before="0"/>
            </w:pPr>
            <w:r/>
            <w:r>
              <w:rPr>
                <w:rFonts w:ascii="Calibri" w:hAnsi="Calibri"/>
                <w:b w:val="0"/>
                <w:i w:val="0"/>
                <w:color w:val="2B2B2B"/>
                <w:sz w:val="18"/>
              </w:rPr>
              <w:t>For cannabis product vendors, confirms the vendor’s state cannabis regulator license status and that transfers will move on a track-and-trace manifest.</w:t>
            </w:r>
          </w:p>
        </w:tc>
      </w:tr>
      <w:tr>
        <w:tc>
          <w:tcPr>
            <w:tcW w:type="dxa" w:w="2808"/>
            <w:vAlign w:val="center"/>
          </w:tcPr>
          <w:p>
            <w:pPr>
              <w:spacing w:after="0" w:before="0"/>
            </w:pPr>
            <w:r/>
            <w:r>
              <w:rPr>
                <w:rFonts w:ascii="Calibri" w:hAnsi="Calibri"/>
                <w:b/>
                <w:i w:val="0"/>
                <w:color w:val="5A2A4D"/>
                <w:sz w:val="18"/>
              </w:rPr>
              <w:t>Controller</w:t>
            </w:r>
          </w:p>
        </w:tc>
        <w:tc>
          <w:tcPr>
            <w:tcW w:type="dxa" w:w="6552"/>
            <w:vAlign w:val="center"/>
          </w:tcPr>
          <w:p>
            <w:pPr>
              <w:spacing w:after="0" w:before="0"/>
            </w:pPr>
            <w:r/>
            <w:r>
              <w:rPr>
                <w:rFonts w:ascii="Calibri" w:hAnsi="Calibri"/>
                <w:b w:val="0"/>
                <w:i w:val="0"/>
                <w:color w:val="2B2B2B"/>
                <w:sz w:val="18"/>
              </w:rPr>
              <w:t>Oversight — reviews vendor-setup controls and the control design; performs independent periodic review of vendor master changes.</w:t>
            </w:r>
          </w:p>
        </w:tc>
      </w:tr>
      <w:tr>
        <w:tc>
          <w:tcPr>
            <w:tcW w:type="dxa" w:w="2808"/>
            <w:vAlign w:val="center"/>
          </w:tcPr>
          <w:p>
            <w:pPr>
              <w:spacing w:after="0" w:before="0"/>
            </w:pPr>
            <w:r/>
            <w:r>
              <w:rPr>
                <w:rFonts w:ascii="Calibri" w:hAnsi="Calibri"/>
                <w:b/>
                <w:i w:val="0"/>
                <w:color w:val="5A2A4D"/>
                <w:sz w:val="18"/>
              </w:rPr>
              <w:t>Owner</w:t>
            </w:r>
          </w:p>
        </w:tc>
        <w:tc>
          <w:tcPr>
            <w:tcW w:type="dxa" w:w="6552"/>
            <w:vAlign w:val="center"/>
          </w:tcPr>
          <w:p>
            <w:pPr>
              <w:spacing w:after="0" w:before="0"/>
            </w:pPr>
            <w:r/>
            <w:r>
              <w:rPr>
                <w:rFonts w:ascii="Calibri" w:hAnsi="Calibri"/>
                <w:b w:val="0"/>
                <w:i w:val="0"/>
                <w:color w:val="2B2B2B"/>
                <w:sz w:val="18"/>
              </w:rPr>
              <w:t>Approves new cannabis product vendors and any vendor with a potential common-ownership or related-party relationship.</w:t>
            </w:r>
          </w:p>
        </w:tc>
      </w:tr>
    </w:tbl>
    <w:p>
      <w:pPr>
        <w:spacing w:before="240" w:after="100"/>
        <w:pBdr>
          <w:bottom w:val="single" w:sz="10" w:space="3" w:color="D8C7D1"/>
        </w:pBdr>
      </w:pPr>
      <w:r>
        <w:rPr>
          <w:rFonts w:ascii="Calibri" w:hAnsi="Calibri"/>
          <w:b/>
          <w:color w:val="5A2A4D"/>
          <w:sz w:val="23"/>
          <w:spacing w:val="14"/>
        </w:rPr>
        <w:t>5. Procedure</w:t>
      </w:r>
    </w:p>
    <w:p>
      <w:pPr>
        <w:spacing w:before="140" w:after="60"/>
      </w:pPr>
      <w:r>
        <w:rPr>
          <w:rFonts w:ascii="Calibri" w:hAnsi="Calibri"/>
          <w:b/>
          <w:color w:val="5A2A4D"/>
          <w:sz w:val="20"/>
        </w:rPr>
        <w:t>A. Vendor Request</w:t>
      </w:r>
    </w:p>
    <w:p>
      <w:pPr>
        <w:pStyle w:val="ListNumber"/>
        <w:numPr>
          <w:ilvl w:val="0"/>
          <w:numId w:val="13"/>
        </w:numPr>
        <w:spacing w:after="80"/>
      </w:pPr>
      <w:r>
        <w:rPr>
          <w:rFonts w:ascii="Calibri" w:hAnsi="Calibri"/>
          <w:b w:val="0"/>
          <w:color w:val="2B2B2B"/>
          <w:sz w:val="19"/>
        </w:rPr>
        <w:t>The Requesting Manager submits a vendor request identifying the vendor, the goods or services to be provided, and the business reason.</w:t>
      </w:r>
    </w:p>
    <w:p>
      <w:pPr>
        <w:pStyle w:val="ListNumber"/>
        <w:numPr>
          <w:ilvl w:val="0"/>
          <w:numId w:val="13"/>
        </w:numPr>
        <w:spacing w:after="80"/>
      </w:pPr>
      <w:r>
        <w:rPr>
          <w:rFonts w:ascii="Calibri" w:hAnsi="Calibri"/>
          <w:b w:val="0"/>
          <w:color w:val="2B2B2B"/>
          <w:sz w:val="19"/>
        </w:rPr>
        <w:t>Accounting confirms the vendor is not already in the vendor master file, to avoid duplicate records.</w:t>
      </w:r>
    </w:p>
    <w:p>
      <w:pPr>
        <w:spacing w:before="140" w:after="60"/>
      </w:pPr>
      <w:r>
        <w:rPr>
          <w:rFonts w:ascii="Calibri" w:hAnsi="Calibri"/>
          <w:b/>
          <w:color w:val="5A2A4D"/>
          <w:sz w:val="20"/>
        </w:rPr>
        <w:t>B. Documentation &amp; Verification</w:t>
      </w:r>
    </w:p>
    <w:p>
      <w:pPr>
        <w:pStyle w:val="ListNumber"/>
        <w:numPr>
          <w:ilvl w:val="0"/>
          <w:numId w:val="13"/>
        </w:numPr>
        <w:spacing w:after="80"/>
      </w:pPr>
      <w:r>
        <w:rPr>
          <w:rFonts w:ascii="Calibri" w:hAnsi="Calibri"/>
          <w:b w:val="0"/>
          <w:color w:val="2B2B2B"/>
          <w:sz w:val="19"/>
        </w:rPr>
        <w:t>Accounting collects a completed W-9 from the vendor, along with remittance details, a primary contact, and — where applicable — a certificate of insurance and a signed agreement or contract.</w:t>
      </w:r>
    </w:p>
    <w:p>
      <w:pPr>
        <w:pStyle w:val="ListNumber"/>
        <w:numPr>
          <w:ilvl w:val="0"/>
          <w:numId w:val="13"/>
        </w:numPr>
        <w:spacing w:after="80"/>
      </w:pPr>
      <w:r>
        <w:rPr>
          <w:rFonts w:ascii="Calibri" w:hAnsi="Calibri"/>
          <w:b w:val="0"/>
          <w:color w:val="2B2B2B"/>
          <w:sz w:val="19"/>
        </w:rPr>
        <w:t>For a cannabis product vendor, the Inventory/Purchasing Lead verifies the vendor holds a current state cannabis regulator license and records the license reference; cannabis may be obtained only from licensed sources.</w:t>
      </w:r>
    </w:p>
    <w:p>
      <w:pPr>
        <w:pStyle w:val="ListNumber"/>
        <w:numPr>
          <w:ilvl w:val="0"/>
          <w:numId w:val="13"/>
        </w:numPr>
        <w:spacing w:after="80"/>
      </w:pPr>
      <w:r>
        <w:rPr>
          <w:rFonts w:ascii="Calibri" w:hAnsi="Calibri"/>
          <w:b w:val="0"/>
          <w:color w:val="2B2B2B"/>
          <w:sz w:val="19"/>
        </w:rPr>
        <w:t>For a cannabis product vendor, Accounting and Owner note whether any common-ownership or control relationship exists, as this affects applicable state trade-practice tracking.</w:t>
      </w:r>
    </w:p>
    <w:p>
      <w:pPr>
        <w:pStyle w:val="ListNumber"/>
        <w:numPr>
          <w:ilvl w:val="0"/>
          <w:numId w:val="13"/>
        </w:numPr>
        <w:spacing w:after="80"/>
      </w:pPr>
      <w:r>
        <w:rPr>
          <w:rFonts w:ascii="Calibri" w:hAnsi="Calibri"/>
          <w:b w:val="0"/>
          <w:color w:val="2B2B2B"/>
          <w:sz w:val="19"/>
        </w:rPr>
        <w:t>Bank or remittance details provided by the vendor are confirmed through an independent channel — not solely from an emailed invoice or request — before they are entered.</w:t>
      </w:r>
    </w:p>
    <w:p>
      <w:pPr>
        <w:spacing w:before="140" w:after="60"/>
      </w:pPr>
      <w:r>
        <w:rPr>
          <w:rFonts w:ascii="Calibri" w:hAnsi="Calibri"/>
          <w:b/>
          <w:color w:val="5A2A4D"/>
          <w:sz w:val="20"/>
        </w:rPr>
        <w:t>C. Approval</w:t>
      </w:r>
    </w:p>
    <w:p>
      <w:pPr>
        <w:pStyle w:val="ListNumber"/>
        <w:numPr>
          <w:ilvl w:val="0"/>
          <w:numId w:val="13"/>
        </w:numPr>
        <w:spacing w:after="80"/>
      </w:pPr>
      <w:r>
        <w:rPr>
          <w:rFonts w:ascii="Calibri" w:hAnsi="Calibri"/>
          <w:b w:val="0"/>
          <w:color w:val="2B2B2B"/>
          <w:sz w:val="19"/>
        </w:rPr>
        <w:t>Accounting reviews the completed onboarding package for completeness.</w:t>
      </w:r>
    </w:p>
    <w:p>
      <w:pPr>
        <w:pStyle w:val="ListNumber"/>
        <w:numPr>
          <w:ilvl w:val="0"/>
          <w:numId w:val="13"/>
        </w:numPr>
        <w:spacing w:after="80"/>
      </w:pPr>
      <w:r>
        <w:rPr>
          <w:rFonts w:ascii="Calibri" w:hAnsi="Calibri"/>
          <w:b w:val="0"/>
          <w:color w:val="2B2B2B"/>
          <w:sz w:val="19"/>
        </w:rPr>
        <w:t>A cannabis product vendor, or any vendor with a potential related-party relationship, is approved by Owner before setup.</w:t>
      </w:r>
    </w:p>
    <w:p>
      <w:pPr>
        <w:pStyle w:val="ListNumber"/>
        <w:numPr>
          <w:ilvl w:val="0"/>
          <w:numId w:val="13"/>
        </w:numPr>
        <w:spacing w:after="80"/>
      </w:pPr>
      <w:r>
        <w:rPr>
          <w:rFonts w:ascii="Calibri" w:hAnsi="Calibri"/>
          <w:b w:val="0"/>
          <w:color w:val="2B2B2B"/>
          <w:sz w:val="19"/>
        </w:rPr>
        <w:t>The approval is documented in the vendor onboarding packet.</w:t>
      </w:r>
    </w:p>
    <w:p>
      <w:pPr>
        <w:spacing w:before="140" w:after="60"/>
      </w:pPr>
      <w:r>
        <w:rPr>
          <w:rFonts w:ascii="Calibri" w:hAnsi="Calibri"/>
          <w:b/>
          <w:color w:val="5A2A4D"/>
          <w:sz w:val="20"/>
        </w:rPr>
        <w:t>D. Setup &amp; Maintenance</w:t>
      </w:r>
    </w:p>
    <w:p>
      <w:pPr>
        <w:pStyle w:val="ListNumber"/>
        <w:numPr>
          <w:ilvl w:val="0"/>
          <w:numId w:val="13"/>
        </w:numPr>
        <w:spacing w:after="80"/>
      </w:pPr>
      <w:r>
        <w:rPr>
          <w:rFonts w:ascii="Calibri" w:hAnsi="Calibri"/>
          <w:b w:val="0"/>
          <w:color w:val="2B2B2B"/>
          <w:sz w:val="19"/>
        </w:rPr>
        <w:t>Accounting sets up the approved vendor in the vendor master file and in QuickBooks Online, including the W-9 information needed for 1099 tracking.</w:t>
      </w:r>
    </w:p>
    <w:p>
      <w:pPr>
        <w:pStyle w:val="ListNumber"/>
        <w:numPr>
          <w:ilvl w:val="0"/>
          <w:numId w:val="13"/>
        </w:numPr>
        <w:spacing w:after="80"/>
      </w:pPr>
      <w:r>
        <w:rPr>
          <w:rFonts w:ascii="Calibri" w:hAnsi="Calibri"/>
          <w:b w:val="0"/>
          <w:color w:val="2B2B2B"/>
          <w:sz w:val="19"/>
        </w:rPr>
        <w:t>The completed onboarding packet is filed to document management system (11_Vendor Management).</w:t>
      </w:r>
    </w:p>
    <w:p>
      <w:pPr>
        <w:pStyle w:val="ListNumber"/>
        <w:numPr>
          <w:ilvl w:val="0"/>
          <w:numId w:val="13"/>
        </w:numPr>
        <w:spacing w:after="80"/>
      </w:pPr>
      <w:r>
        <w:rPr>
          <w:rFonts w:ascii="Calibri" w:hAnsi="Calibri"/>
          <w:b w:val="0"/>
          <w:color w:val="2B2B2B"/>
          <w:sz w:val="19"/>
        </w:rPr>
        <w:t>Any later change to a vendor’s banking or remittance details follows the same independent-verification step and is reviewed by a second person before it takes effect.</w:t>
      </w:r>
    </w:p>
    <w:p>
      <w:pPr>
        <w:spacing w:after="80"/>
      </w:pPr>
      <w:r>
        <w:rPr>
          <w:rFonts w:ascii="Calibri" w:hAnsi="Calibri"/>
          <w:i/>
          <w:color w:val="707070"/>
          <w:sz w:val="17"/>
        </w:rPr>
      </w:r>
    </w:p>
    <w:p>
      <w:pPr>
        <w:spacing w:before="240" w:after="100"/>
        <w:pBdr>
          <w:bottom w:val="single" w:sz="10" w:space="3" w:color="D8C7D1"/>
        </w:pBdr>
      </w:pPr>
      <w:r>
        <w:rPr>
          <w:rFonts w:ascii="Calibri" w:hAnsi="Calibri"/>
          <w:b/>
          <w:color w:val="5A2A4D"/>
          <w:sz w:val="23"/>
          <w:spacing w:val="14"/>
        </w:rPr>
        <w:t>6. Internal Controls</w:t>
      </w:r>
    </w:p>
    <w:p>
      <w:pPr>
        <w:pStyle w:val="ListBullet"/>
        <w:spacing w:after="80"/>
      </w:pPr>
      <w:r>
        <w:rPr>
          <w:rFonts w:ascii="Calibri" w:hAnsi="Calibri"/>
          <w:b w:val="0"/>
          <w:color w:val="2B2B2B"/>
          <w:sz w:val="19"/>
        </w:rPr>
        <w:t>A vendor is not eligible for a purchase order or payment until onboarding is complete and approved.</w:t>
      </w:r>
    </w:p>
    <w:p>
      <w:pPr>
        <w:pStyle w:val="ListBullet"/>
        <w:spacing w:after="80"/>
      </w:pPr>
      <w:r>
        <w:rPr>
          <w:rFonts w:ascii="Calibri" w:hAnsi="Calibri"/>
          <w:b w:val="0"/>
          <w:color w:val="2B2B2B"/>
          <w:sz w:val="19"/>
        </w:rPr>
        <w:t>Segregation of duties: the person who requests a vendor is not the person who approves the vendor setup; the person who sets up vendors does not also approve invoices for payment.</w:t>
      </w:r>
    </w:p>
    <w:p>
      <w:pPr>
        <w:pStyle w:val="ListBullet"/>
        <w:spacing w:after="80"/>
      </w:pPr>
      <w:r>
        <w:rPr>
          <w:rFonts w:ascii="Calibri" w:hAnsi="Calibri"/>
          <w:b w:val="0"/>
          <w:color w:val="2B2B2B"/>
          <w:sz w:val="19"/>
        </w:rPr>
        <w:t>New or changed vendor banking and remittance details are verified through an independent channel and reviewed by a second person — the primary control against payment-redirection and fictitious-vendor fraud.</w:t>
      </w:r>
    </w:p>
    <w:p>
      <w:pPr>
        <w:pStyle w:val="ListBullet"/>
        <w:spacing w:after="80"/>
      </w:pPr>
      <w:r>
        <w:rPr>
          <w:rFonts w:ascii="Calibri" w:hAnsi="Calibri"/>
          <w:b w:val="0"/>
          <w:color w:val="2B2B2B"/>
          <w:sz w:val="19"/>
        </w:rPr>
        <w:t>The vendor master file is checked for duplicates before any vendor is added.</w:t>
      </w:r>
    </w:p>
    <w:p>
      <w:pPr>
        <w:pStyle w:val="ListBullet"/>
        <w:spacing w:after="80"/>
      </w:pPr>
      <w:r>
        <w:rPr>
          <w:rFonts w:ascii="Calibri" w:hAnsi="Calibri"/>
          <w:b w:val="0"/>
          <w:color w:val="2B2B2B"/>
          <w:sz w:val="19"/>
        </w:rPr>
        <w:t>Cannabis product vendors are verified as state-regulator-licensed before setup, and related-party relationships are identified and disclosed.</w:t>
      </w:r>
    </w:p>
    <w:p>
      <w:pPr>
        <w:pStyle w:val="ListBullet"/>
        <w:spacing w:after="80"/>
      </w:pPr>
      <w:r>
        <w:rPr>
          <w:rFonts w:ascii="Calibri" w:hAnsi="Calibri"/>
          <w:b w:val="0"/>
          <w:color w:val="2B2B2B"/>
          <w:sz w:val="19"/>
        </w:rPr>
        <w:t>W-9s are collected at onboarding, before the first payment, so 1099 reporting is complete at year end.</w:t>
      </w:r>
    </w:p>
    <w:p>
      <w:pPr>
        <w:pStyle w:val="ListBullet"/>
        <w:spacing w:after="80"/>
      </w:pPr>
      <w:r>
        <w:rPr>
          <w:rFonts w:ascii="Calibri" w:hAnsi="Calibri"/>
          <w:b w:val="0"/>
          <w:color w:val="2B2B2B"/>
          <w:sz w:val="19"/>
        </w:rPr>
        <w:t>Controller performs periodic independent review of additions and changes to the vendor master file.</w:t>
      </w:r>
    </w:p>
    <w:p>
      <w:pPr>
        <w:spacing w:before="240" w:after="100"/>
        <w:pBdr>
          <w:bottom w:val="single" w:sz="10" w:space="3" w:color="D8C7D1"/>
        </w:pBdr>
      </w:pPr>
      <w:r>
        <w:rPr>
          <w:rFonts w:ascii="Calibri" w:hAnsi="Calibri"/>
          <w:b/>
          <w:color w:val="5A2A4D"/>
          <w:sz w:val="23"/>
          <w:spacing w:val="14"/>
        </w:rPr>
        <w:t>7. Regulatory &amp; Compliance Basis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2088"/>
            <w:shd w:val="clear" w:color="auto" w:fill="5A2A4D"/>
          </w:tcPr>
          <w:p>
            <w:pPr>
              <w:spacing w:after="0" w:before="0"/>
            </w:pPr>
            <w:r/>
            <w:r>
              <w:rPr>
                <w:rFonts w:ascii="Calibri" w:hAnsi="Calibri"/>
                <w:b/>
                <w:i w:val="0"/>
                <w:color w:val="FFFFFF"/>
                <w:sz w:val="16"/>
              </w:rPr>
              <w:t>Reference</w:t>
            </w:r>
          </w:p>
        </w:tc>
        <w:tc>
          <w:tcPr>
            <w:tcW w:type="dxa" w:w="6264"/>
            <w:shd w:val="clear" w:color="auto" w:fill="5A2A4D"/>
          </w:tcPr>
          <w:p>
            <w:pPr>
              <w:spacing w:after="0" w:before="0"/>
            </w:pPr>
            <w:r/>
            <w:r>
              <w:rPr>
                <w:rFonts w:ascii="Calibri" w:hAnsi="Calibri"/>
                <w:b/>
                <w:i w:val="0"/>
                <w:color w:val="FFFFFF"/>
                <w:sz w:val="16"/>
              </w:rPr>
              <w:t>Requirement / Basis</w:t>
            </w:r>
          </w:p>
        </w:tc>
        <w:tc>
          <w:tcPr>
            <w:tcW w:type="dxa" w:w="1008"/>
            <w:shd w:val="clear" w:color="auto" w:fill="5A2A4D"/>
          </w:tcPr>
          <w:p>
            <w:pPr>
              <w:spacing w:after="0" w:before="0"/>
            </w:pPr>
            <w:r/>
            <w:r>
              <w:rPr>
                <w:rFonts w:ascii="Calibri" w:hAnsi="Calibri"/>
                <w:b/>
                <w:i w:val="0"/>
                <w:color w:val="FFFFFF"/>
                <w:sz w:val="16"/>
              </w:rPr>
              <w:t>Class</w:t>
            </w:r>
          </w:p>
        </w:tc>
      </w:tr>
      <w:tr>
        <w:tc>
          <w:tcPr>
            <w:tcW w:type="dxa" w:w="2088"/>
            <w:vAlign w:val="center"/>
          </w:tcPr>
          <w:p>
            <w:pPr>
              <w:spacing w:after="0" w:before="0"/>
            </w:pPr>
            <w:r/>
            <w:r>
              <w:rPr>
                <w:rFonts w:ascii="Calibri" w:hAnsi="Calibri"/>
                <w:b/>
                <w:i w:val="0"/>
                <w:color w:val="5A2A4D"/>
                <w:sz w:val="17"/>
              </w:rPr>
              <w:t>Applicable state cannabis regulations; state regulator guidance</w:t>
            </w:r>
          </w:p>
        </w:tc>
        <w:tc>
          <w:tcPr>
            <w:tcW w:type="dxa" w:w="6264"/>
            <w:vAlign w:val="center"/>
          </w:tcPr>
          <w:p>
            <w:pPr>
              <w:spacing w:after="0" w:before="0"/>
            </w:pPr>
            <w:r/>
            <w:r>
              <w:rPr>
                <w:rFonts w:ascii="Calibri" w:hAnsi="Calibri"/>
                <w:b w:val="0"/>
                <w:i w:val="0"/>
                <w:color w:val="2B2B2B"/>
                <w:sz w:val="17"/>
              </w:rPr>
              <w:t>A business may obtain cannabis only from licensed sources and may not sell or distribute cannabis through an unlicensed third party, intermediary, or broker. Cannabis vendors must be verified as state-regulator-licensed.</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State regulator guidance — transfers</w:t>
            </w:r>
          </w:p>
        </w:tc>
        <w:tc>
          <w:tcPr>
            <w:tcW w:type="dxa" w:w="6264"/>
            <w:vAlign w:val="center"/>
          </w:tcPr>
          <w:p>
            <w:pPr>
              <w:spacing w:after="0" w:before="0"/>
            </w:pPr>
            <w:r/>
            <w:r>
              <w:rPr>
                <w:rFonts w:ascii="Calibri" w:hAnsi="Calibri"/>
                <w:b w:val="0"/>
                <w:i w:val="0"/>
                <w:color w:val="2B2B2B"/>
                <w:sz w:val="17"/>
              </w:rPr>
              <w:t>Transfers of cannabis between licensees move on a track-and-trace system transfer manifest; vendor setup should anticipate manifest-based receiving.</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State regulator guidance — trade practice</w:t>
            </w:r>
          </w:p>
        </w:tc>
        <w:tc>
          <w:tcPr>
            <w:tcW w:type="dxa" w:w="6264"/>
            <w:vAlign w:val="center"/>
          </w:tcPr>
          <w:p>
            <w:pPr>
              <w:spacing w:after="0" w:before="0"/>
            </w:pPr>
            <w:r/>
            <w:r>
              <w:rPr>
                <w:rFonts w:ascii="Calibri" w:hAnsi="Calibri"/>
                <w:b w:val="0"/>
                <w:i w:val="0"/>
                <w:color w:val="2B2B2B"/>
                <w:sz w:val="17"/>
              </w:rPr>
              <w:t>Applicable state trade-practice rules address products from licensees with no common ownership or control with the business; common-ownership relationships should be identified at onboarding.</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IRS — Form W-9 / 1099</w:t>
            </w:r>
          </w:p>
        </w:tc>
        <w:tc>
          <w:tcPr>
            <w:tcW w:type="dxa" w:w="6264"/>
            <w:vAlign w:val="center"/>
          </w:tcPr>
          <w:p>
            <w:pPr>
              <w:spacing w:after="0" w:before="0"/>
            </w:pPr>
            <w:r/>
            <w:r>
              <w:rPr>
                <w:rFonts w:ascii="Calibri" w:hAnsi="Calibri"/>
                <w:b w:val="0"/>
                <w:i w:val="0"/>
                <w:color w:val="2B2B2B"/>
                <w:sz w:val="17"/>
              </w:rPr>
              <w:t>A W-9 is collected from U.S. vendors to support year-end 1099-NEC reporting of reportable payments.</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Independent verification of vendor banking details</w:t>
            </w:r>
          </w:p>
        </w:tc>
        <w:tc>
          <w:tcPr>
            <w:tcW w:type="dxa" w:w="6264"/>
            <w:vAlign w:val="center"/>
          </w:tcPr>
          <w:p>
            <w:pPr>
              <w:spacing w:after="0" w:before="0"/>
            </w:pPr>
            <w:r/>
            <w:r>
              <w:rPr>
                <w:rFonts w:ascii="Calibri" w:hAnsi="Calibri"/>
                <w:b w:val="0"/>
                <w:i w:val="0"/>
                <w:color w:val="2B2B2B"/>
                <w:sz w:val="17"/>
              </w:rPr>
              <w:t>New and changed remittance details are confirmed through an independent channel with second-person review.</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Segregation of duties</w:t>
            </w:r>
          </w:p>
        </w:tc>
        <w:tc>
          <w:tcPr>
            <w:tcW w:type="dxa" w:w="6264"/>
            <w:vAlign w:val="center"/>
          </w:tcPr>
          <w:p>
            <w:pPr>
              <w:spacing w:after="0" w:before="0"/>
            </w:pPr>
            <w:r/>
            <w:r>
              <w:rPr>
                <w:rFonts w:ascii="Calibri" w:hAnsi="Calibri"/>
                <w:b w:val="0"/>
                <w:i w:val="0"/>
                <w:color w:val="2B2B2B"/>
                <w:sz w:val="17"/>
              </w:rPr>
              <w:t>Vendor requesting, approval, setup, and invoice approval are separated across people.</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Collecting W-9s before first payment</w:t>
            </w:r>
          </w:p>
        </w:tc>
        <w:tc>
          <w:tcPr>
            <w:tcW w:type="dxa" w:w="6264"/>
            <w:vAlign w:val="center"/>
          </w:tcPr>
          <w:p>
            <w:pPr>
              <w:spacing w:after="0" w:before="0"/>
            </w:pPr>
            <w:r/>
            <w:r>
              <w:rPr>
                <w:rFonts w:ascii="Calibri" w:hAnsi="Calibri"/>
                <w:b w:val="0"/>
                <w:i w:val="0"/>
                <w:color w:val="2B2B2B"/>
                <w:sz w:val="17"/>
              </w:rPr>
              <w:t>Tax documentation is gathered up front rather than chased at year end.</w:t>
            </w:r>
          </w:p>
        </w:tc>
        <w:tc>
          <w:tcPr>
            <w:tcW w:type="dxa" w:w="1008"/>
            <w:vAlign w:val="center"/>
          </w:tcPr>
          <w:p>
            <w:pPr>
              <w:spacing w:after="0" w:before="0"/>
            </w:pPr>
            <w:r/>
            <w:r>
              <w:rPr>
                <w:rFonts w:ascii="Calibri" w:hAnsi="Calibri"/>
                <w:b w:val="0"/>
                <w:i w:val="0"/>
                <w:color w:val="2B2B2B"/>
                <w:sz w:val="17"/>
              </w:rPr>
              <w:t>BP</w:t>
            </w:r>
          </w:p>
        </w:tc>
      </w:tr>
      <w:tr>
        <w:tc>
          <w:tcPr>
            <w:tcW w:type="dxa" w:w="2088"/>
            <w:vAlign w:val="center"/>
          </w:tcPr>
          <w:p>
            <w:pPr>
              <w:spacing w:after="0" w:before="0"/>
            </w:pPr>
            <w:r/>
            <w:r>
              <w:rPr>
                <w:rFonts w:ascii="Calibri" w:hAnsi="Calibri"/>
                <w:b/>
                <w:i w:val="0"/>
                <w:color w:val="5A2A4D"/>
                <w:sz w:val="17"/>
              </w:rPr>
              <w:t>Insurance / agreement requirements by vendor type</w:t>
            </w:r>
          </w:p>
        </w:tc>
        <w:tc>
          <w:tcPr>
            <w:tcW w:type="dxa" w:w="6264"/>
            <w:vAlign w:val="center"/>
          </w:tcPr>
          <w:p>
            <w:pPr>
              <w:spacing w:after="0" w:before="0"/>
            </w:pPr>
            <w:r/>
            <w:r>
              <w:rPr>
                <w:rFonts w:ascii="Calibri" w:hAnsi="Calibri"/>
                <w:b w:val="0"/>
                <w:i w:val="0"/>
                <w:color w:val="2B2B2B"/>
                <w:sz w:val="17"/>
              </w:rPr>
              <w:t>The documentation standard for each vendor type is a management decision.</w:t>
            </w:r>
          </w:p>
        </w:tc>
        <w:tc>
          <w:tcPr>
            <w:tcW w:type="dxa" w:w="1008"/>
            <w:vAlign w:val="center"/>
          </w:tcPr>
          <w:p>
            <w:pPr>
              <w:spacing w:after="0" w:before="0"/>
            </w:pPr>
            <w:r/>
            <w:r>
              <w:rPr>
                <w:rFonts w:ascii="Calibri" w:hAnsi="Calibri"/>
                <w:b w:val="0"/>
                <w:i w:val="0"/>
                <w:color w:val="2B2B2B"/>
                <w:sz w:val="17"/>
              </w:rPr>
              <w:t>OP</w:t>
            </w:r>
          </w:p>
        </w:tc>
      </w:tr>
    </w:tbl>
    <w:p>
      <w:pPr>
        <w:spacing w:after="80"/>
      </w:pPr>
      <w:r>
        <w:rPr>
          <w:rFonts w:ascii="Calibri" w:hAnsi="Calibri"/>
          <w:i/>
          <w:color w:val="707070"/>
          <w:sz w:val="17"/>
        </w:rPr>
        <w:t>Cannabis licensing and trade-practice requirements should be confirmed with cannabis counsel and against current state regulator guidance; verifying a vendor’s state cannabis regulator license status is a regulatory safeguard, not a legal opinion. 1099 reporting determinations are confirmed with the engaged CPA.</w:t>
      </w:r>
    </w:p>
    <w:p>
      <w:pPr>
        <w:spacing w:before="240" w:after="100"/>
        <w:pBdr>
          <w:bottom w:val="single" w:sz="10" w:space="3" w:color="D8C7D1"/>
        </w:pBdr>
      </w:pPr>
      <w:r>
        <w:rPr>
          <w:rFonts w:ascii="Calibri" w:hAnsi="Calibri"/>
          <w:b/>
          <w:color w:val="5A2A4D"/>
          <w:sz w:val="23"/>
          <w:spacing w:val="14"/>
        </w:rPr>
        <w:t>8. Records &amp; Retention</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3384"/>
            <w:shd w:val="clear" w:color="auto" w:fill="5A2A4D"/>
          </w:tcPr>
          <w:p>
            <w:pPr>
              <w:spacing w:after="0" w:before="0"/>
            </w:pPr>
            <w:r/>
            <w:r>
              <w:rPr>
                <w:rFonts w:ascii="Calibri" w:hAnsi="Calibri"/>
                <w:b/>
                <w:i w:val="0"/>
                <w:color w:val="FFFFFF"/>
                <w:sz w:val="16"/>
              </w:rPr>
              <w:t>Record</w:t>
            </w:r>
          </w:p>
        </w:tc>
        <w:tc>
          <w:tcPr>
            <w:tcW w:type="dxa" w:w="3096"/>
            <w:shd w:val="clear" w:color="auto" w:fill="5A2A4D"/>
          </w:tcPr>
          <w:p>
            <w:pPr>
              <w:spacing w:after="0" w:before="0"/>
            </w:pPr>
            <w:r/>
            <w:r>
              <w:rPr>
                <w:rFonts w:ascii="Calibri" w:hAnsi="Calibri"/>
                <w:b/>
                <w:i w:val="0"/>
                <w:color w:val="FFFFFF"/>
                <w:sz w:val="16"/>
              </w:rPr>
              <w:t>Location (document management system)</w:t>
            </w:r>
          </w:p>
        </w:tc>
        <w:tc>
          <w:tcPr>
            <w:tcW w:type="dxa" w:w="2880"/>
            <w:shd w:val="clear" w:color="auto" w:fill="5A2A4D"/>
          </w:tcPr>
          <w:p>
            <w:pPr>
              <w:spacing w:after="0" w:before="0"/>
            </w:pPr>
            <w:r/>
            <w:r>
              <w:rPr>
                <w:rFonts w:ascii="Calibri" w:hAnsi="Calibri"/>
                <w:b/>
                <w:i w:val="0"/>
                <w:color w:val="FFFFFF"/>
                <w:sz w:val="16"/>
              </w:rPr>
              <w:t>Retention</w:t>
            </w:r>
          </w:p>
        </w:tc>
      </w:tr>
      <w:tr>
        <w:tc>
          <w:tcPr>
            <w:tcW w:type="dxa" w:w="3384"/>
            <w:vAlign w:val="center"/>
          </w:tcPr>
          <w:p>
            <w:pPr>
              <w:spacing w:after="0" w:before="0"/>
            </w:pPr>
            <w:r/>
            <w:r>
              <w:rPr>
                <w:rFonts w:ascii="Calibri" w:hAnsi="Calibri"/>
                <w:b/>
                <w:i w:val="0"/>
                <w:color w:val="5A2A4D"/>
                <w:sz w:val="17"/>
              </w:rPr>
              <w:t>Vendor Onboarding Packets</w:t>
            </w:r>
          </w:p>
        </w:tc>
        <w:tc>
          <w:tcPr>
            <w:tcW w:type="dxa" w:w="3096"/>
            <w:vAlign w:val="center"/>
          </w:tcPr>
          <w:p>
            <w:pPr>
              <w:spacing w:after="0" w:before="0"/>
            </w:pPr>
            <w:r/>
            <w:r>
              <w:rPr>
                <w:rFonts w:ascii="Calibri" w:hAnsi="Calibri"/>
                <w:b w:val="0"/>
                <w:i w:val="0"/>
                <w:color w:val="2B2B2B"/>
                <w:sz w:val="17"/>
              </w:rPr>
              <w:t>11_Vendor Management / 03_Vendor Onboarding Packets</w:t>
            </w:r>
          </w:p>
        </w:tc>
        <w:tc>
          <w:tcPr>
            <w:tcW w:type="dxa" w:w="2880"/>
            <w:vAlign w:val="center"/>
          </w:tcPr>
          <w:p>
            <w:pPr>
              <w:spacing w:after="0" w:before="0"/>
            </w:pPr>
            <w:r/>
            <w:r>
              <w:rPr>
                <w:rFonts w:ascii="Calibri" w:hAnsi="Calibri"/>
                <w:b w:val="0"/>
                <w:i w:val="0"/>
                <w:color w:val="2B2B2B"/>
                <w:sz w:val="17"/>
              </w:rPr>
              <w:t>Min. 7 years; confirm state retention requirements with counsel</w:t>
            </w:r>
          </w:p>
        </w:tc>
      </w:tr>
      <w:tr>
        <w:tc>
          <w:tcPr>
            <w:tcW w:type="dxa" w:w="3384"/>
            <w:vAlign w:val="center"/>
          </w:tcPr>
          <w:p>
            <w:pPr>
              <w:spacing w:after="0" w:before="0"/>
            </w:pPr>
            <w:r/>
            <w:r>
              <w:rPr>
                <w:rFonts w:ascii="Calibri" w:hAnsi="Calibri"/>
                <w:b/>
                <w:i w:val="0"/>
                <w:color w:val="5A2A4D"/>
                <w:sz w:val="17"/>
              </w:rPr>
              <w:t>W-9s</w:t>
            </w:r>
          </w:p>
        </w:tc>
        <w:tc>
          <w:tcPr>
            <w:tcW w:type="dxa" w:w="3096"/>
            <w:vAlign w:val="center"/>
          </w:tcPr>
          <w:p>
            <w:pPr>
              <w:spacing w:after="0" w:before="0"/>
            </w:pPr>
            <w:r/>
            <w:r>
              <w:rPr>
                <w:rFonts w:ascii="Calibri" w:hAnsi="Calibri"/>
                <w:b w:val="0"/>
                <w:i w:val="0"/>
                <w:color w:val="2B2B2B"/>
                <w:sz w:val="17"/>
              </w:rPr>
              <w:t>05_Accounts Payable / 04_W-9s &amp; 1099 Tracking</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Vendor agreements &amp; MSAs</w:t>
            </w:r>
          </w:p>
        </w:tc>
        <w:tc>
          <w:tcPr>
            <w:tcW w:type="dxa" w:w="3096"/>
            <w:vAlign w:val="center"/>
          </w:tcPr>
          <w:p>
            <w:pPr>
              <w:spacing w:after="0" w:before="0"/>
            </w:pPr>
            <w:r/>
            <w:r>
              <w:rPr>
                <w:rFonts w:ascii="Calibri" w:hAnsi="Calibri"/>
                <w:b w:val="0"/>
                <w:i w:val="0"/>
                <w:color w:val="2B2B2B"/>
                <w:sz w:val="17"/>
              </w:rPr>
              <w:t>11_Vendor Management / 04_Vendor Contracts &amp; MSAs</w:t>
            </w:r>
          </w:p>
        </w:tc>
        <w:tc>
          <w:tcPr>
            <w:tcW w:type="dxa" w:w="2880"/>
            <w:vAlign w:val="center"/>
          </w:tcPr>
          <w:p>
            <w:pPr>
              <w:spacing w:after="0" w:before="0"/>
            </w:pPr>
            <w:r/>
            <w:r>
              <w:rPr>
                <w:rFonts w:ascii="Calibri" w:hAnsi="Calibri"/>
                <w:b w:val="0"/>
                <w:i w:val="0"/>
                <w:color w:val="2B2B2B"/>
                <w:sz w:val="17"/>
              </w:rPr>
              <w:t>Term of agreement + min. 7 years; confirm with counsel</w:t>
            </w:r>
          </w:p>
        </w:tc>
      </w:tr>
      <w:tr>
        <w:tc>
          <w:tcPr>
            <w:tcW w:type="dxa" w:w="3384"/>
            <w:vAlign w:val="center"/>
          </w:tcPr>
          <w:p>
            <w:pPr>
              <w:spacing w:after="0" w:before="0"/>
            </w:pPr>
            <w:r/>
            <w:r>
              <w:rPr>
                <w:rFonts w:ascii="Calibri" w:hAnsi="Calibri"/>
                <w:b/>
                <w:i w:val="0"/>
                <w:color w:val="5A2A4D"/>
                <w:sz w:val="17"/>
              </w:rPr>
              <w:t>Cannabis vendor license verification</w:t>
            </w:r>
          </w:p>
        </w:tc>
        <w:tc>
          <w:tcPr>
            <w:tcW w:type="dxa" w:w="3096"/>
            <w:vAlign w:val="center"/>
          </w:tcPr>
          <w:p>
            <w:pPr>
              <w:spacing w:after="0" w:before="0"/>
            </w:pPr>
            <w:r/>
            <w:r>
              <w:rPr>
                <w:rFonts w:ascii="Calibri" w:hAnsi="Calibri"/>
                <w:b w:val="0"/>
                <w:i w:val="0"/>
                <w:color w:val="2B2B2B"/>
                <w:sz w:val="17"/>
              </w:rPr>
              <w:t>11_Vendor Management / 05_Cannabis-Specific Vendor Documentation</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Vendor master change log</w:t>
            </w:r>
          </w:p>
        </w:tc>
        <w:tc>
          <w:tcPr>
            <w:tcW w:type="dxa" w:w="3096"/>
            <w:vAlign w:val="center"/>
          </w:tcPr>
          <w:p>
            <w:pPr>
              <w:spacing w:after="0" w:before="0"/>
            </w:pPr>
            <w:r/>
            <w:r>
              <w:rPr>
                <w:rFonts w:ascii="Calibri" w:hAnsi="Calibri"/>
                <w:b w:val="0"/>
                <w:i w:val="0"/>
                <w:color w:val="2B2B2B"/>
                <w:sz w:val="17"/>
              </w:rPr>
              <w:t>05_Accounts Payable / 01_Vendor Master File</w:t>
            </w:r>
          </w:p>
        </w:tc>
        <w:tc>
          <w:tcPr>
            <w:tcW w:type="dxa" w:w="2880"/>
            <w:vAlign w:val="center"/>
          </w:tcPr>
          <w:p>
            <w:pPr>
              <w:spacing w:after="0" w:before="0"/>
            </w:pPr>
            <w:r/>
            <w:r>
              <w:rPr>
                <w:rFonts w:ascii="Calibri" w:hAnsi="Calibri"/>
                <w:b w:val="0"/>
                <w:i w:val="0"/>
                <w:color w:val="2B2B2B"/>
                <w:sz w:val="17"/>
              </w:rPr>
              <w:t>Min. 7 years; confirm with counsel</w:t>
            </w:r>
          </w:p>
        </w:tc>
      </w:tr>
    </w:tbl>
    <w:p>
      <w:pPr>
        <w:spacing w:before="240" w:after="100"/>
        <w:pBdr>
          <w:bottom w:val="single" w:sz="10" w:space="3" w:color="D8C7D1"/>
        </w:pBdr>
      </w:pPr>
      <w:r>
        <w:rPr>
          <w:rFonts w:ascii="Calibri" w:hAnsi="Calibri"/>
          <w:b/>
          <w:color w:val="5A2A4D"/>
          <w:sz w:val="23"/>
          <w:spacing w:val="14"/>
        </w:rPr>
        <w:t>9. Exceptions &amp; Escalation</w:t>
      </w:r>
    </w:p>
    <w:p>
      <w:pPr>
        <w:pStyle w:val="ListBullet"/>
        <w:spacing w:after="80"/>
      </w:pPr>
      <w:r>
        <w:rPr>
          <w:rFonts w:ascii="Calibri" w:hAnsi="Calibri"/>
          <w:b w:val="0"/>
          <w:color w:val="2B2B2B"/>
          <w:sz w:val="19"/>
        </w:rPr>
        <w:t>An invoice received from a vendor that has not completed onboarding is held — not paid — and returned to the Requesting Manager to complete onboarding.</w:t>
      </w:r>
    </w:p>
    <w:p>
      <w:pPr>
        <w:pStyle w:val="ListBullet"/>
        <w:spacing w:after="80"/>
      </w:pPr>
      <w:r>
        <w:rPr>
          <w:rFonts w:ascii="Calibri" w:hAnsi="Calibri"/>
          <w:b w:val="0"/>
          <w:color w:val="2B2B2B"/>
          <w:sz w:val="19"/>
        </w:rPr>
        <w:t>A request to change vendor banking details that cannot be independently verified is not processed and is escalated to Controller and Owner.</w:t>
      </w:r>
    </w:p>
    <w:p>
      <w:pPr>
        <w:pStyle w:val="ListBullet"/>
        <w:spacing w:after="80"/>
      </w:pPr>
      <w:r>
        <w:rPr>
          <w:rFonts w:ascii="Calibri" w:hAnsi="Calibri"/>
          <w:b w:val="0"/>
          <w:color w:val="2B2B2B"/>
          <w:sz w:val="19"/>
        </w:rPr>
        <w:t>A cannabis product vendor whose state cannabis regulator license cannot be confirmed as current is not set up; the Inventory/Purchasing Lead and Owner are notified.</w:t>
      </w:r>
    </w:p>
    <w:p>
      <w:pPr>
        <w:pStyle w:val="ListBullet"/>
        <w:spacing w:after="80"/>
      </w:pPr>
      <w:r>
        <w:rPr>
          <w:rFonts w:ascii="Calibri" w:hAnsi="Calibri"/>
          <w:b w:val="0"/>
          <w:color w:val="2B2B2B"/>
          <w:sz w:val="19"/>
        </w:rPr>
        <w:t>A potential related-party or common-ownership relationship is escalated to Owner and Controller before the vendor is approved.</w:t>
      </w:r>
    </w:p>
    <w:p>
      <w:pPr>
        <w:spacing w:before="240" w:after="100"/>
        <w:pBdr>
          <w:bottom w:val="single" w:sz="10" w:space="3" w:color="D8C7D1"/>
        </w:pBdr>
      </w:pPr>
      <w:r>
        <w:rPr>
          <w:rFonts w:ascii="Calibri" w:hAnsi="Calibri"/>
          <w:b/>
          <w:color w:val="5A2A4D"/>
          <w:sz w:val="23"/>
          <w:spacing w:val="14"/>
        </w:rPr>
        <w:t>10. Revision History</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440"/>
            <w:shd w:val="clear" w:color="auto" w:fill="5A2A4D"/>
          </w:tcPr>
          <w:p>
            <w:pPr>
              <w:spacing w:after="0" w:before="0"/>
            </w:pPr>
            <w:r/>
            <w:r>
              <w:rPr>
                <w:rFonts w:ascii="Calibri" w:hAnsi="Calibri"/>
                <w:b/>
                <w:i w:val="0"/>
                <w:color w:val="FFFFFF"/>
                <w:sz w:val="16"/>
              </w:rPr>
              <w:t>Version</w:t>
            </w:r>
          </w:p>
        </w:tc>
        <w:tc>
          <w:tcPr>
            <w:tcW w:type="dxa" w:w="1656"/>
            <w:shd w:val="clear" w:color="auto" w:fill="5A2A4D"/>
          </w:tcPr>
          <w:p>
            <w:pPr>
              <w:spacing w:after="0" w:before="0"/>
            </w:pPr>
            <w:r/>
            <w:r>
              <w:rPr>
                <w:rFonts w:ascii="Calibri" w:hAnsi="Calibri"/>
                <w:b/>
                <w:i w:val="0"/>
                <w:color w:val="FFFFFF"/>
                <w:sz w:val="16"/>
              </w:rPr>
              <w:t>Date</w:t>
            </w:r>
          </w:p>
        </w:tc>
        <w:tc>
          <w:tcPr>
            <w:tcW w:type="dxa" w:w="2376"/>
            <w:shd w:val="clear" w:color="auto" w:fill="5A2A4D"/>
          </w:tcPr>
          <w:p>
            <w:pPr>
              <w:spacing w:after="0" w:before="0"/>
            </w:pPr>
            <w:r/>
            <w:r>
              <w:rPr>
                <w:rFonts w:ascii="Calibri" w:hAnsi="Calibri"/>
                <w:b/>
                <w:i w:val="0"/>
                <w:color w:val="FFFFFF"/>
                <w:sz w:val="16"/>
              </w:rPr>
              <w:t>Author</w:t>
            </w:r>
          </w:p>
        </w:tc>
        <w:tc>
          <w:tcPr>
            <w:tcW w:type="dxa" w:w="3888"/>
            <w:shd w:val="clear" w:color="auto" w:fill="5A2A4D"/>
          </w:tcPr>
          <w:p>
            <w:pPr>
              <w:spacing w:after="0" w:before="0"/>
            </w:pPr>
            <w:r/>
            <w:r>
              <w:rPr>
                <w:rFonts w:ascii="Calibri" w:hAnsi="Calibri"/>
                <w:b/>
                <w:i w:val="0"/>
                <w:color w:val="FFFFFF"/>
                <w:sz w:val="16"/>
              </w:rPr>
              <w:t>Change</w:t>
            </w:r>
          </w:p>
        </w:tc>
      </w:tr>
      <w:tr>
        <w:tc>
          <w:tcPr>
            <w:tcW w:type="dxa" w:w="1440"/>
            <w:vAlign w:val="center"/>
          </w:tcPr>
          <w:p>
            <w:pPr>
              <w:spacing w:after="0" w:before="0"/>
            </w:pPr>
            <w:r/>
            <w:r>
              <w:rPr>
                <w:rFonts w:ascii="Calibri" w:hAnsi="Calibri"/>
                <w:b/>
                <w:i w:val="0"/>
                <w:color w:val="5A2A4D"/>
                <w:sz w:val="17"/>
              </w:rPr>
              <w:t>Sample v1.0</w:t>
            </w:r>
          </w:p>
        </w:tc>
        <w:tc>
          <w:tcPr>
            <w:tcW w:type="dxa" w:w="1656"/>
            <w:vAlign w:val="center"/>
          </w:tcPr>
          <w:p>
            <w:pPr>
              <w:spacing w:after="0" w:before="0"/>
            </w:pPr>
            <w:r/>
            <w:r>
              <w:rPr>
                <w:rFonts w:ascii="Calibri" w:hAnsi="Calibri"/>
                <w:b w:val="0"/>
                <w:i w:val="0"/>
                <w:color w:val="2B2B2B"/>
                <w:sz w:val="17"/>
              </w:rPr>
              <w:t>2026-05-21</w:t>
            </w:r>
          </w:p>
        </w:tc>
        <w:tc>
          <w:tcPr>
            <w:tcW w:type="dxa" w:w="2376"/>
            <w:vAlign w:val="center"/>
          </w:tcPr>
          <w:p>
            <w:pPr>
              <w:spacing w:after="0" w:before="0"/>
            </w:pPr>
            <w:r/>
            <w:r>
              <w:rPr>
                <w:rFonts w:ascii="Calibri" w:hAnsi="Calibri"/>
                <w:b w:val="0"/>
                <w:i w:val="0"/>
                <w:color w:val="2B2B2B"/>
                <w:sz w:val="17"/>
              </w:rPr>
              <w:t>Controller</w:t>
            </w:r>
          </w:p>
        </w:tc>
        <w:tc>
          <w:tcPr>
            <w:tcW w:type="dxa" w:w="3888"/>
            <w:vAlign w:val="center"/>
          </w:tcPr>
          <w:p>
            <w:pPr>
              <w:spacing w:after="0" w:before="0"/>
            </w:pPr>
            <w:r/>
            <w:r>
              <w:rPr>
                <w:rFonts w:ascii="Calibri" w:hAnsi="Calibri"/>
                <w:b w:val="0"/>
                <w:i w:val="0"/>
                <w:color w:val="2B2B2B"/>
                <w:sz w:val="17"/>
              </w:rPr>
              <w:t>Training example for the Financial Foundations cohort.</w:t>
            </w:r>
          </w:p>
        </w:tc>
      </w:tr>
    </w:tbl>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Purchasing Approval &amp; Authorization Schedule</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07 — Purchasing Approval &amp; Authorization Schedule</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Owner (authority owner) / Accounting (administration)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authorizes purchases — from routine operating supplies through major commitments — using a documented authorization schedule. A clear approval matrix supports cost control, separates duties, and ensures the AP workflow (SOP 05) receives only properly authorized invoices.</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all purchasing commitments made on behalf of the Company — cannabis product purchases, services, supplies, equipment, and recurring vendor contracts. It establishes the approval thresholds, the approval evidence, and the route from a purchase request through to an approved purchase ready for vendor onboarding (SOP 06) and AP intake (SOP 05).</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Purchase Request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documented intent to commit Company to a purchase, with category, vendor, quantity, expected price, and business purpose.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Approval Threshold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dollar level above which a higher-authority approver is required.</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Authorization Schedule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matrix that maps purchase categories and dollar levels to required approvers.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Commitment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purchase agreement or order that, once issued, obligates Company to payment subject to receipt of goods or services.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Approved Vendor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vendor that has completed onboarding under SOP 06.</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Requestor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Initiates a Purchase Request with business purpose, category, quantity, and expected price; identifies the vendor (and onboards if needed).</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Department Manager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and approves Purchase Requests within their authority threshold; escalates above-threshold requests upward.</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purchases above the management threshold; approves new vendor categories, capital commitments, and contracts.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Administers the Authorization Schedule, confirms approver authority before issuing a PO, and routes the approved purchase to AP intake.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Maintains the Authorization Schedule with Owner; performs periodic review of approvals against invoices for compliance.</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Purchase Request</w:t>
      </w:r>
    </w:p>
    <w:p>
      <w:pPr>
        <w:pStyle w:val="ListBullet"/>
        <w:spacing w:before="20" w:after="40"/>
      </w:pPr>
      <w:r>
        <w:rPr>
          <w:rFonts w:ascii="Calibri" w:hAnsi="Calibri"/>
          <w:b w:val="0"/>
          <w:color w:val="2B2B2B"/>
          <w:sz w:val="19"/>
        </w:rPr>
        <w:t>The Requestor submits a Purchase Request with business purpose, category, vendor, quantity, and expected price.</w:t>
      </w:r>
    </w:p>
    <w:p>
      <w:pPr>
        <w:pStyle w:val="ListBullet"/>
        <w:spacing w:before="20" w:after="40"/>
      </w:pPr>
      <w:r>
        <w:rPr>
          <w:rFonts w:ascii="Calibri" w:hAnsi="Calibri"/>
          <w:b w:val="0"/>
          <w:color w:val="2B2B2B"/>
          <w:sz w:val="19"/>
        </w:rPr>
        <w:t>If the vendor is not on the Approved Vendor list, the Requestor initiates onboarding under SOP 06 before approval can be granted.</w:t>
      </w:r>
    </w:p>
    <w:p>
      <w:pPr>
        <w:spacing w:before="120" w:after="60"/>
      </w:pPr>
      <w:r>
        <w:rPr>
          <w:rFonts w:ascii="Calibri" w:hAnsi="Calibri"/>
          <w:b/>
          <w:color w:val="5A2A4D"/>
          <w:sz w:val="20"/>
        </w:rPr>
        <w:t>B. Approval Routing</w:t>
      </w:r>
    </w:p>
    <w:p>
      <w:pPr>
        <w:pStyle w:val="ListBullet"/>
        <w:spacing w:before="20" w:after="40"/>
      </w:pPr>
      <w:r>
        <w:rPr>
          <w:rFonts w:ascii="Calibri" w:hAnsi="Calibri"/>
          <w:b w:val="0"/>
          <w:color w:val="2B2B2B"/>
          <w:sz w:val="19"/>
        </w:rPr>
        <w:t>Accounting routes the request to the appropriate approver(s) per the Authorization Schedule.</w:t>
      </w:r>
    </w:p>
    <w:p>
      <w:pPr>
        <w:pStyle w:val="ListBullet"/>
        <w:spacing w:before="20" w:after="40"/>
      </w:pPr>
      <w:r>
        <w:rPr>
          <w:rFonts w:ascii="Calibri" w:hAnsi="Calibri"/>
          <w:b w:val="0"/>
          <w:color w:val="2B2B2B"/>
          <w:sz w:val="19"/>
        </w:rPr>
        <w:t>Each approver records approval evidence — signature or system-tracked approval — with date.</w:t>
      </w:r>
    </w:p>
    <w:p>
      <w:pPr>
        <w:pStyle w:val="ListBullet"/>
        <w:spacing w:before="20" w:after="40"/>
      </w:pPr>
      <w:r>
        <w:rPr>
          <w:rFonts w:ascii="Calibri" w:hAnsi="Calibri"/>
          <w:b w:val="0"/>
          <w:color w:val="2B2B2B"/>
          <w:sz w:val="19"/>
        </w:rPr>
        <w:t>Above-threshold requests proceed to higher approvers in sequence; Owner's approval is final for the highest tier.</w:t>
      </w:r>
    </w:p>
    <w:p>
      <w:pPr>
        <w:spacing w:before="120" w:after="60"/>
      </w:pPr>
      <w:r>
        <w:rPr>
          <w:rFonts w:ascii="Calibri" w:hAnsi="Calibri"/>
          <w:b/>
          <w:color w:val="5A2A4D"/>
          <w:sz w:val="20"/>
        </w:rPr>
        <w:t>C. Issuing the Purchase Order</w:t>
      </w:r>
    </w:p>
    <w:p>
      <w:pPr>
        <w:pStyle w:val="ListBullet"/>
        <w:spacing w:before="20" w:after="40"/>
      </w:pPr>
      <w:r>
        <w:rPr>
          <w:rFonts w:ascii="Calibri" w:hAnsi="Calibri"/>
          <w:b w:val="0"/>
          <w:color w:val="2B2B2B"/>
          <w:sz w:val="19"/>
        </w:rPr>
        <w:t>Once approvals are complete, Accounting issues a Purchase Order to the vendor, referencing the approval evidence and the Approved Vendor record.</w:t>
      </w:r>
    </w:p>
    <w:p>
      <w:pPr>
        <w:pStyle w:val="ListBullet"/>
        <w:spacing w:before="20" w:after="40"/>
      </w:pPr>
      <w:r>
        <w:rPr>
          <w:rFonts w:ascii="Calibri" w:hAnsi="Calibri"/>
          <w:b w:val="0"/>
          <w:color w:val="2B2B2B"/>
          <w:sz w:val="19"/>
        </w:rPr>
        <w:t>The PO documents quantity, price, terms, and expected receipt; changes to an issued PO require re-approval at the appropriate level.</w:t>
      </w:r>
    </w:p>
    <w:p>
      <w:pPr>
        <w:spacing w:before="120" w:after="60"/>
      </w:pPr>
      <w:r>
        <w:rPr>
          <w:rFonts w:ascii="Calibri" w:hAnsi="Calibri"/>
          <w:b/>
          <w:color w:val="5A2A4D"/>
          <w:sz w:val="20"/>
        </w:rPr>
        <w:t>D. Receipt &amp; AP Hand-off</w:t>
      </w:r>
    </w:p>
    <w:p>
      <w:pPr>
        <w:pStyle w:val="ListBullet"/>
        <w:spacing w:before="20" w:after="40"/>
      </w:pPr>
      <w:r>
        <w:rPr>
          <w:rFonts w:ascii="Calibri" w:hAnsi="Calibri"/>
          <w:b w:val="0"/>
          <w:color w:val="2B2B2B"/>
          <w:sz w:val="19"/>
        </w:rPr>
        <w:t>Goods or services are received and the Receiving Record is signed (per SOP 12 for cannabis product; otherwise by the Receiving Manager).</w:t>
      </w:r>
    </w:p>
    <w:p>
      <w:pPr>
        <w:pStyle w:val="ListBullet"/>
        <w:spacing w:before="20" w:after="40"/>
      </w:pPr>
      <w:r>
        <w:rPr>
          <w:rFonts w:ascii="Calibri" w:hAnsi="Calibri"/>
          <w:b w:val="0"/>
          <w:color w:val="2B2B2B"/>
          <w:sz w:val="19"/>
        </w:rPr>
        <w:t>Accounting matches the invoice to the PO and the Receiving Record per SOP 05 (three-way match).</w:t>
      </w:r>
    </w:p>
    <w:p>
      <w:pPr>
        <w:pStyle w:val="ListBullet"/>
        <w:spacing w:before="20" w:after="40"/>
      </w:pPr>
      <w:r>
        <w:rPr>
          <w:rFonts w:ascii="Calibri" w:hAnsi="Calibri"/>
          <w:b w:val="0"/>
          <w:color w:val="2B2B2B"/>
          <w:sz w:val="19"/>
        </w:rPr>
        <w:t>Any discrepancy is resolved with the Requesting Manager and vendor before the invoice progresses to payment.</w:t>
      </w:r>
    </w:p>
    <w:p>
      <w:pPr>
        <w:spacing w:before="120" w:after="60"/>
      </w:pPr>
      <w:r>
        <w:rPr>
          <w:rFonts w:ascii="Calibri" w:hAnsi="Calibri"/>
          <w:b/>
          <w:color w:val="5A2A4D"/>
          <w:sz w:val="20"/>
        </w:rPr>
        <w:t>E. Contracts &amp; Recurring Commitments</w:t>
      </w:r>
    </w:p>
    <w:p>
      <w:pPr>
        <w:pStyle w:val="ListBullet"/>
        <w:spacing w:before="20" w:after="40"/>
      </w:pPr>
      <w:r>
        <w:rPr>
          <w:rFonts w:ascii="Calibri" w:hAnsi="Calibri"/>
          <w:b w:val="0"/>
          <w:color w:val="2B2B2B"/>
          <w:sz w:val="19"/>
        </w:rPr>
        <w:t>Multi-period contracts, recurring service agreements, and any commitment exceeding Owner threshold are approved by Owner with Controller review.</w:t>
      </w:r>
    </w:p>
    <w:p>
      <w:pPr>
        <w:pStyle w:val="ListBullet"/>
        <w:spacing w:before="20" w:after="40"/>
      </w:pPr>
      <w:r>
        <w:rPr>
          <w:rFonts w:ascii="Calibri" w:hAnsi="Calibri"/>
          <w:b w:val="0"/>
          <w:color w:val="2B2B2B"/>
          <w:sz w:val="19"/>
        </w:rPr>
        <w:t>Counsel review is recommended for material vendor contracts before signature.</w:t>
      </w:r>
    </w:p>
    <w:p>
      <w:pPr>
        <w:spacing w:before="120" w:after="80"/>
      </w:pPr>
      <w:r>
        <w:rPr>
          <w:rFonts w:ascii="Calibri" w:hAnsi="Calibri"/>
          <w:b w:val="0"/>
          <w:color w:val="707070"/>
          <w:sz w:val="17"/>
        </w:rPr>
        <w:t>The specific dollar thresholds in the Authorization Schedule are decisions for Owner. Controller proposes initial thresholds during implementation. The Schedule itself is maintained as a separate controlled document and is referenced by this SOP.</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All purchases route through Accounting for Authorization Schedule administration — no informal commitments.</w:t>
      </w:r>
    </w:p>
    <w:p>
      <w:pPr>
        <w:pStyle w:val="ListBullet"/>
        <w:spacing w:before="20" w:after="40"/>
      </w:pPr>
      <w:r>
        <w:rPr>
          <w:rFonts w:ascii="Calibri" w:hAnsi="Calibri"/>
          <w:b w:val="0"/>
          <w:color w:val="2B2B2B"/>
          <w:sz w:val="19"/>
        </w:rPr>
        <w:t>Above-threshold purchases require higher-tier approval before a PO is issued.</w:t>
      </w:r>
    </w:p>
    <w:p>
      <w:pPr>
        <w:pStyle w:val="ListBullet"/>
        <w:spacing w:before="20" w:after="40"/>
      </w:pPr>
      <w:r>
        <w:rPr>
          <w:rFonts w:ascii="Calibri" w:hAnsi="Calibri"/>
          <w:b w:val="0"/>
          <w:color w:val="2B2B2B"/>
          <w:sz w:val="19"/>
        </w:rPr>
        <w:t>The Authorization Schedule is a controlled document, reviewed at least annually by Owner and Controller.</w:t>
      </w:r>
    </w:p>
    <w:p>
      <w:pPr>
        <w:pStyle w:val="ListBullet"/>
        <w:spacing w:before="20" w:after="40"/>
      </w:pPr>
      <w:r>
        <w:rPr>
          <w:rFonts w:ascii="Calibri" w:hAnsi="Calibri"/>
          <w:b w:val="0"/>
          <w:color w:val="2B2B2B"/>
          <w:sz w:val="19"/>
        </w:rPr>
        <w:t>Approval evidence is retained with the PO and the invoice — auditable trail.</w:t>
      </w:r>
    </w:p>
    <w:p>
      <w:pPr>
        <w:pStyle w:val="ListBullet"/>
        <w:spacing w:before="20" w:after="40"/>
      </w:pPr>
      <w:r>
        <w:rPr>
          <w:rFonts w:ascii="Calibri" w:hAnsi="Calibri"/>
          <w:b w:val="0"/>
          <w:color w:val="2B2B2B"/>
          <w:sz w:val="19"/>
        </w:rPr>
        <w:t>Three-way match at AP (SOP 05) confirms that the invoice agrees with the approved PO and the Receiving Record.</w:t>
      </w:r>
    </w:p>
    <w:p>
      <w:pPr>
        <w:pStyle w:val="ListBullet"/>
        <w:spacing w:before="20" w:after="40"/>
      </w:pPr>
      <w:r>
        <w:rPr>
          <w:rFonts w:ascii="Calibri" w:hAnsi="Calibri"/>
          <w:b w:val="0"/>
          <w:color w:val="2B2B2B"/>
          <w:sz w:val="19"/>
        </w:rPr>
        <w:t>Counsel review of material contracts before signature.</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Applicable state regulations do not prescribe a purchasing-approval framework; this SOP is internal-control and best-practice based. Cannabis product purchasing intersects with vendor licensing requirements (SOP 06) and track-and-trace manifest handling (SOP 12), which carry regulatory weight — confirm with counsel.</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Documented Authorization Schedule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Maintain a matrix of approval thresholds reviewed by Owner and Controller.</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Approval evidence retention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Retain approval signatures with PO and invoice for audit trail.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Three-way match precondition (PO / receiving / invoice)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 processes payment only against matched documentation.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 approval for material contracts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Material commitments approved at Owner level with Controller review.</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Vendor licensing precondition for cannabis product</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Cannabis product purchases require an state-regulator-licensed source — cross-reference SOP 06.</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Counsel review of material contracts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Reduces legal and operational risk on multi-period commitments.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Segregation between requester, approver, and PO issuer</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Requestor does not approve their own requests and does not issue the PO.</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Authorization Schedule (controlled document)</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02_Authorization Schedule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business; superseded versions retained 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Purchase Requests with approval evidence</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05_Accounts Payable / 01_Purchase Requests &amp; POs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Purchase Orders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05_Accounts Payable / 01_Purchase Requests &amp; POs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Vendor contracts (executed)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05_Accounts Payable / 04_Vendor Contracts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contract + 7 years; confirm with counsel</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Purchase commitment made without prior approval: Owner and Controller are notified the same business day; AP holds payment pending after-the-fact review and Owner ratification.</w:t>
      </w:r>
    </w:p>
    <w:p>
      <w:pPr>
        <w:pStyle w:val="ListBullet"/>
        <w:spacing w:before="20" w:after="40"/>
      </w:pPr>
      <w:r>
        <w:rPr>
          <w:rFonts w:ascii="Calibri" w:hAnsi="Calibri"/>
          <w:b w:val="0"/>
          <w:color w:val="2B2B2B"/>
          <w:sz w:val="19"/>
        </w:rPr>
        <w:t>Purchase from a non-onboarded vendor: held; vendor onboarding (SOP 06) completed before payment.</w:t>
      </w:r>
    </w:p>
    <w:p>
      <w:pPr>
        <w:pStyle w:val="ListBullet"/>
        <w:spacing w:before="20" w:after="40"/>
      </w:pPr>
      <w:r>
        <w:rPr>
          <w:rFonts w:ascii="Calibri" w:hAnsi="Calibri"/>
          <w:b w:val="0"/>
          <w:color w:val="2B2B2B"/>
          <w:sz w:val="19"/>
        </w:rPr>
        <w:t>Vendor pricing materially above the approved request: routed back to the approving authority before AP processes payment.</w:t>
      </w:r>
    </w:p>
    <w:p>
      <w:pPr>
        <w:pStyle w:val="ListBullet"/>
        <w:spacing w:before="20" w:after="40"/>
      </w:pPr>
      <w:r>
        <w:rPr>
          <w:rFonts w:ascii="Calibri" w:hAnsi="Calibri"/>
          <w:b w:val="0"/>
          <w:color w:val="2B2B2B"/>
          <w:sz w:val="19"/>
        </w:rPr>
        <w:t>Material contract executed without counsel review: noted in the exception log and discussed at the next Controller oversight review.</w:t>
      </w:r>
    </w:p>
    <w:p>
      <w:pPr>
        <w:pStyle w:val="ListBullet"/>
        <w:spacing w:before="20" w:after="40"/>
      </w:pPr>
      <w:r>
        <w:rPr>
          <w:rFonts w:ascii="Calibri" w:hAnsi="Calibri"/>
          <w:b w:val="0"/>
          <w:color w:val="2B2B2B"/>
          <w:sz w:val="19"/>
        </w:rPr>
        <w:t>Recurring vendor charges added outside the approval process: identified by Controller in the monthly oversight review and escalated to Owner.</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Employee Expense Reimbursement &amp; Corporate Card</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08 — Employee Expense Reimbursement &amp; Corporate Card</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Accounting (Bookkeeper / In-House Lead) with Owner approval</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issues and controls corporate cards, reimburses out-of-pocket employee expenses, and ensures expense documentation supports the accounting record. Disciplined expense controls reduce fraud risk and support clean classification under 280E.</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all employee out-of-pocket reimbursements and to all Company corporate card activity. It complements SOP 05 (AP Workflow), SOP 02 (Petty Cash), and SOP 15 (Chart of Accounts Maintenance).</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Corporate Card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credit or debit card issued in the Company's name and tied to the operating account or a corporate card program.</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Cardholder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An employee authorized to use a corporate card within stated limits.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Expense Report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documented request for reimbursement or for corporate-card expense categorization, with receipts and business purpose.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Business Purpose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specific operational reason a cost was incurred — required for every expense, including those on corporate cards.</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Cardholder / Requestor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Submits an Expense Report on a defined cadence, with receipts and a clear business purpose for every line.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Approving Manager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and approves Expense Reports for direct reports within their authority; escalates above-threshold expenses.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card issuance, spending limits, and expense reports for the highest tier.</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Administers the corporate card program; reviews Expense Reports for documentation and coding; posts to QBO; performs the monthly card reconciliation.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patterns and exceptions in card spend; confirms 280E classification where ambiguous.</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Card Issuance &amp; Limits</w:t>
      </w:r>
    </w:p>
    <w:p>
      <w:pPr>
        <w:pStyle w:val="ListBullet"/>
        <w:spacing w:before="20" w:after="40"/>
      </w:pPr>
      <w:r>
        <w:rPr>
          <w:rFonts w:ascii="Calibri" w:hAnsi="Calibri"/>
          <w:b w:val="0"/>
          <w:color w:val="2B2B2B"/>
          <w:sz w:val="19"/>
        </w:rPr>
        <w:t>Corporate cards are issued only with Owner approval; each card has a stated monthly limit and category restrictions where the program supports them.</w:t>
      </w:r>
    </w:p>
    <w:p>
      <w:pPr>
        <w:pStyle w:val="ListBullet"/>
        <w:spacing w:before="20" w:after="40"/>
      </w:pPr>
      <w:r>
        <w:rPr>
          <w:rFonts w:ascii="Calibri" w:hAnsi="Calibri"/>
          <w:b w:val="0"/>
          <w:color w:val="2B2B2B"/>
          <w:sz w:val="19"/>
        </w:rPr>
        <w:t>Each card is named to a single Cardholder; card sharing is prohibited. Lost or stolen cards are reported immediately and suspended.</w:t>
      </w:r>
    </w:p>
    <w:p>
      <w:pPr>
        <w:pStyle w:val="ListBullet"/>
        <w:spacing w:before="20" w:after="40"/>
      </w:pPr>
      <w:r>
        <w:rPr>
          <w:rFonts w:ascii="Calibri" w:hAnsi="Calibri"/>
          <w:b w:val="0"/>
          <w:color w:val="2B2B2B"/>
          <w:sz w:val="19"/>
        </w:rPr>
        <w:t>Card spend categories are mapped to the chart of accounts (SOP 15) at issuance.</w:t>
      </w:r>
    </w:p>
    <w:p>
      <w:pPr>
        <w:spacing w:before="120" w:after="60"/>
      </w:pPr>
      <w:r>
        <w:rPr>
          <w:rFonts w:ascii="Calibri" w:hAnsi="Calibri"/>
          <w:b/>
          <w:color w:val="5A2A4D"/>
          <w:sz w:val="20"/>
        </w:rPr>
        <w:t>B. Use &amp; Documentation</w:t>
      </w:r>
    </w:p>
    <w:p>
      <w:pPr>
        <w:pStyle w:val="ListBullet"/>
        <w:spacing w:before="20" w:after="40"/>
      </w:pPr>
      <w:r>
        <w:rPr>
          <w:rFonts w:ascii="Calibri" w:hAnsi="Calibri"/>
          <w:b w:val="0"/>
          <w:color w:val="2B2B2B"/>
          <w:sz w:val="19"/>
        </w:rPr>
        <w:t>Every card swipe or reimbursement-eligible out-of-pocket spend requires a receipt and a documented business purpose.</w:t>
      </w:r>
    </w:p>
    <w:p>
      <w:pPr>
        <w:pStyle w:val="ListBullet"/>
        <w:spacing w:before="20" w:after="40"/>
      </w:pPr>
      <w:r>
        <w:rPr>
          <w:rFonts w:ascii="Calibri" w:hAnsi="Calibri"/>
          <w:b w:val="0"/>
          <w:color w:val="2B2B2B"/>
          <w:sz w:val="19"/>
        </w:rPr>
        <w:t>Personal use of corporate cards is prohibited; an inadvertent personal charge is repaid by the Cardholder within the same close cycle and documented in the Expense Report.</w:t>
      </w:r>
    </w:p>
    <w:p>
      <w:pPr>
        <w:pStyle w:val="ListBullet"/>
        <w:spacing w:before="20" w:after="40"/>
      </w:pPr>
      <w:r>
        <w:rPr>
          <w:rFonts w:ascii="Calibri" w:hAnsi="Calibri"/>
          <w:b w:val="0"/>
          <w:color w:val="2B2B2B"/>
          <w:sz w:val="19"/>
        </w:rPr>
        <w:t>Tip thresholds, meal-cap, and travel-class norms are operational decisions set by management.</w:t>
      </w:r>
    </w:p>
    <w:p>
      <w:pPr>
        <w:spacing w:before="120" w:after="60"/>
      </w:pPr>
      <w:r>
        <w:rPr>
          <w:rFonts w:ascii="Calibri" w:hAnsi="Calibri"/>
          <w:b/>
          <w:color w:val="5A2A4D"/>
          <w:sz w:val="20"/>
        </w:rPr>
        <w:t>C. Expense Report Submission</w:t>
      </w:r>
    </w:p>
    <w:p>
      <w:pPr>
        <w:pStyle w:val="ListBullet"/>
        <w:spacing w:before="20" w:after="40"/>
      </w:pPr>
      <w:r>
        <w:rPr>
          <w:rFonts w:ascii="Calibri" w:hAnsi="Calibri"/>
          <w:b w:val="0"/>
          <w:color w:val="2B2B2B"/>
          <w:sz w:val="19"/>
        </w:rPr>
        <w:t>Cardholders submit Expense Reports on a defined cadence (typically weekly or biweekly), with receipts attached and each line coded.</w:t>
      </w:r>
    </w:p>
    <w:p>
      <w:pPr>
        <w:pStyle w:val="ListBullet"/>
        <w:spacing w:before="20" w:after="40"/>
      </w:pPr>
      <w:r>
        <w:rPr>
          <w:rFonts w:ascii="Calibri" w:hAnsi="Calibri"/>
          <w:b w:val="0"/>
          <w:color w:val="2B2B2B"/>
          <w:sz w:val="19"/>
        </w:rPr>
        <w:t>Reports are routed to the Approving Manager and then to Accounting.</w:t>
      </w:r>
    </w:p>
    <w:p>
      <w:pPr>
        <w:pStyle w:val="ListBullet"/>
        <w:spacing w:before="20" w:after="40"/>
      </w:pPr>
      <w:r>
        <w:rPr>
          <w:rFonts w:ascii="Calibri" w:hAnsi="Calibri"/>
          <w:b w:val="0"/>
          <w:color w:val="2B2B2B"/>
          <w:sz w:val="19"/>
        </w:rPr>
        <w:t>Missing receipts above a defined de minimis level require a signed missing-receipt memo explaining the gap.</w:t>
      </w:r>
    </w:p>
    <w:p>
      <w:pPr>
        <w:spacing w:before="120" w:after="60"/>
      </w:pPr>
      <w:r>
        <w:rPr>
          <w:rFonts w:ascii="Calibri" w:hAnsi="Calibri"/>
          <w:b/>
          <w:color w:val="5A2A4D"/>
          <w:sz w:val="20"/>
        </w:rPr>
        <w:t>D. Posting &amp; Monthly Card Reconciliation</w:t>
      </w:r>
    </w:p>
    <w:p>
      <w:pPr>
        <w:pStyle w:val="ListBullet"/>
        <w:spacing w:before="20" w:after="40"/>
      </w:pPr>
      <w:r>
        <w:rPr>
          <w:rFonts w:ascii="Calibri" w:hAnsi="Calibri"/>
          <w:b w:val="0"/>
          <w:color w:val="2B2B2B"/>
          <w:sz w:val="19"/>
        </w:rPr>
        <w:t>Accounting reviews Expense Reports for completeness and coding, posts the card statement to QBO with approved line-level coding, and ties total posted expense to the card statement.</w:t>
      </w:r>
    </w:p>
    <w:p>
      <w:pPr>
        <w:pStyle w:val="ListBullet"/>
        <w:spacing w:before="20" w:after="40"/>
      </w:pPr>
      <w:r>
        <w:rPr>
          <w:rFonts w:ascii="Calibri" w:hAnsi="Calibri"/>
          <w:b w:val="0"/>
          <w:color w:val="2B2B2B"/>
          <w:sz w:val="19"/>
        </w:rPr>
        <w:t>Unsubmitted card charges at month-end are accrued and the Cardholder is required to submit before the next cycle.</w:t>
      </w:r>
    </w:p>
    <w:p>
      <w:pPr>
        <w:pStyle w:val="ListBullet"/>
        <w:spacing w:before="20" w:after="40"/>
      </w:pPr>
      <w:r>
        <w:rPr>
          <w:rFonts w:ascii="Calibri" w:hAnsi="Calibri"/>
          <w:b w:val="0"/>
          <w:color w:val="2B2B2B"/>
          <w:sz w:val="19"/>
        </w:rPr>
        <w:t>The monthly card reconciliation is part of the close package per SOP 17.</w:t>
      </w:r>
    </w:p>
    <w:p>
      <w:pPr>
        <w:spacing w:before="120" w:after="60"/>
      </w:pPr>
      <w:r>
        <w:rPr>
          <w:rFonts w:ascii="Calibri" w:hAnsi="Calibri"/>
          <w:b/>
          <w:color w:val="5A2A4D"/>
          <w:sz w:val="20"/>
        </w:rPr>
        <w:t>E. Card Discontinuation</w:t>
      </w:r>
    </w:p>
    <w:p>
      <w:pPr>
        <w:pStyle w:val="ListBullet"/>
        <w:spacing w:before="20" w:after="40"/>
      </w:pPr>
      <w:r>
        <w:rPr>
          <w:rFonts w:ascii="Calibri" w:hAnsi="Calibri"/>
          <w:b w:val="0"/>
          <w:color w:val="2B2B2B"/>
          <w:sz w:val="19"/>
        </w:rPr>
        <w:t>When a Cardholder departs or moves out of a role requiring a card, Accounting cancels the card the same business day per SOP 19.</w:t>
      </w:r>
    </w:p>
    <w:p>
      <w:pPr>
        <w:spacing w:before="120" w:after="80"/>
      </w:pPr>
      <w:r>
        <w:rPr>
          <w:rFonts w:ascii="Calibri" w:hAnsi="Calibri"/>
          <w:b w:val="0"/>
          <w:color w:val="707070"/>
          <w:sz w:val="17"/>
        </w:rPr>
        <w:t>Limit levels, category restrictions, submission cadence, and meal/travel norms are management decisions for the Company.</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Owner approval is required for card issuance and limit changes.</w:t>
      </w:r>
    </w:p>
    <w:p>
      <w:pPr>
        <w:pStyle w:val="ListBullet"/>
        <w:spacing w:before="20" w:after="40"/>
      </w:pPr>
      <w:r>
        <w:rPr>
          <w:rFonts w:ascii="Calibri" w:hAnsi="Calibri"/>
          <w:b w:val="0"/>
          <w:color w:val="2B2B2B"/>
          <w:sz w:val="19"/>
        </w:rPr>
        <w:t>Each card is named to a single Cardholder; sharing prohibited.</w:t>
      </w:r>
    </w:p>
    <w:p>
      <w:pPr>
        <w:pStyle w:val="ListBullet"/>
        <w:spacing w:before="20" w:after="40"/>
      </w:pPr>
      <w:r>
        <w:rPr>
          <w:rFonts w:ascii="Calibri" w:hAnsi="Calibri"/>
          <w:b w:val="0"/>
          <w:color w:val="2B2B2B"/>
          <w:sz w:val="19"/>
        </w:rPr>
        <w:t>Receipt and business-purpose documentation required for every line.</w:t>
      </w:r>
    </w:p>
    <w:p>
      <w:pPr>
        <w:pStyle w:val="ListBullet"/>
        <w:spacing w:before="20" w:after="40"/>
      </w:pPr>
      <w:r>
        <w:rPr>
          <w:rFonts w:ascii="Calibri" w:hAnsi="Calibri"/>
          <w:b w:val="0"/>
          <w:color w:val="2B2B2B"/>
          <w:sz w:val="19"/>
        </w:rPr>
        <w:t>Approving Manager review precedes Accounting posting.</w:t>
      </w:r>
    </w:p>
    <w:p>
      <w:pPr>
        <w:pStyle w:val="ListBullet"/>
        <w:spacing w:before="20" w:after="40"/>
      </w:pPr>
      <w:r>
        <w:rPr>
          <w:rFonts w:ascii="Calibri" w:hAnsi="Calibri"/>
          <w:b w:val="0"/>
          <w:color w:val="2B2B2B"/>
          <w:sz w:val="19"/>
        </w:rPr>
        <w:t>Monthly card reconciliation included in the close package.</w:t>
      </w:r>
    </w:p>
    <w:p>
      <w:pPr>
        <w:pStyle w:val="ListBullet"/>
        <w:spacing w:before="20" w:after="40"/>
      </w:pPr>
      <w:r>
        <w:rPr>
          <w:rFonts w:ascii="Calibri" w:hAnsi="Calibri"/>
          <w:b w:val="0"/>
          <w:color w:val="2B2B2B"/>
          <w:sz w:val="19"/>
        </w:rPr>
        <w:t>Card cancelled same-business-day on Cardholder departure or role change.</w:t>
      </w:r>
    </w:p>
    <w:p>
      <w:pPr>
        <w:pStyle w:val="ListBullet"/>
        <w:spacing w:before="20" w:after="40"/>
      </w:pPr>
      <w:r>
        <w:rPr>
          <w:rFonts w:ascii="Calibri" w:hAnsi="Calibri"/>
          <w:b w:val="0"/>
          <w:color w:val="2B2B2B"/>
          <w:sz w:val="19"/>
        </w:rPr>
        <w:t>Controller periodically reviews card spend for unusual category or pattern activity.</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Applicable state regulations do not prescribe expense-reimbursement procedures; this SOP is internal-control and best-practice based. Disciplined business-purpose documentation supports proper classification under IRC §280E and the related cannabis-CPA treatment of operating versus COGS expenses.</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IRC §280E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Expense classification (COGS vs. operating) materially affects deductibility; documentation supports the cannabis CPA's treatment — confirm with CPA.</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IRS — accountable plan rules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Reimbursements not under an accountable plan are taxable wages; business-purpose and receipt documentation supports accountable-plan treatment.</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Single-Cardholder rule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One named user per card; sharing prohibited.</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Receipt + business-purpose requirement on every line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Documentation standard supporting both control and tax treatment.</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card reconciliation in close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Detects mis-postings and unsubmitted expenses each month.</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Same-day card cancellation on departure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Controls termination risk.</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Defined limits and category restrictions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Operational control on spend exposure.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Expense Reports with receipts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06_Expenses &amp; Reimbursement / 01_Expense Reports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Corporate card statements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06_Expenses &amp; Reimbursement / 02_Card Statements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card reconciliations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06_Expenses &amp; Reimbursement / 03_Reconciliations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Card issuance and cancellation records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06_Expenses &amp; Reimbursement / 04_Card Governance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card + 7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Missing receipt above the de minimis level: signed missing-receipt memo required; patterns are escalated to Controller.</w:t>
      </w:r>
    </w:p>
    <w:p>
      <w:pPr>
        <w:pStyle w:val="ListBullet"/>
        <w:spacing w:before="20" w:after="40"/>
      </w:pPr>
      <w:r>
        <w:rPr>
          <w:rFonts w:ascii="Calibri" w:hAnsi="Calibri"/>
          <w:b w:val="0"/>
          <w:color w:val="2B2B2B"/>
          <w:sz w:val="19"/>
        </w:rPr>
        <w:t>Personal charge on a corporate card: repaid within the same close cycle and documented; repeat occurrences escalate to Owner.</w:t>
      </w:r>
    </w:p>
    <w:p>
      <w:pPr>
        <w:pStyle w:val="ListBullet"/>
        <w:spacing w:before="20" w:after="40"/>
      </w:pPr>
      <w:r>
        <w:rPr>
          <w:rFonts w:ascii="Calibri" w:hAnsi="Calibri"/>
          <w:b w:val="0"/>
          <w:color w:val="2B2B2B"/>
          <w:sz w:val="19"/>
        </w:rPr>
        <w:t>Card spend above the stated limit: blocked at the card program level where supported; manual review and Owner approval otherwise.</w:t>
      </w:r>
    </w:p>
    <w:p>
      <w:pPr>
        <w:pStyle w:val="ListBullet"/>
        <w:spacing w:before="20" w:after="40"/>
      </w:pPr>
      <w:r>
        <w:rPr>
          <w:rFonts w:ascii="Calibri" w:hAnsi="Calibri"/>
          <w:b w:val="0"/>
          <w:color w:val="2B2B2B"/>
          <w:sz w:val="19"/>
        </w:rPr>
        <w:t>Card not cancelled on departure within one business day: documented as a controls exception and escalated to Controller.</w:t>
      </w:r>
    </w:p>
    <w:p>
      <w:pPr>
        <w:pStyle w:val="ListBullet"/>
        <w:spacing w:before="20" w:after="40"/>
      </w:pPr>
      <w:r>
        <w:rPr>
          <w:rFonts w:ascii="Calibri" w:hAnsi="Calibri"/>
          <w:b w:val="0"/>
          <w:color w:val="2B2B2B"/>
          <w:sz w:val="19"/>
        </w:rPr>
        <w:t>Suspected fraudulent charge: card suspended immediately, dispute filed with the card issuer, Owner and Controller notified the same business day.</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Payroll Processing</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09 — Payroll Processing</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Accounting (Bookkeeper / In-House Lead) with Owner final approval</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captures time, processes payroll, remits payroll taxes, and posts payroll to the general ledger. Cannabis-industry payroll carries elevated controls considerations because of cash-intensive operations, restricted banking, and 280E treatment of labor cost.</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all Company employees and to any payroll-related compensation (regular wages, overtime, tips if applicable, bonuses, and commissions). It runs from the close of the pay-period timesheets through payroll posting and tax remittance. Independent-contractor payments are handled under SOP 05 and 1099 processes.</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Payroll Provider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third-party payroll platform that processes wages, withholds and remits payroll taxes, and provides tax filings.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Pay Period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defined interval (e.g., biweekly) for which hours and earnings are aggregated for payroll processing.</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Cannabis Agent Badge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State cannabis regulator-issued agent identification required to work at a licensed cannabis facility; payroll eligibility is conditioned on a current badge — confirm current state cannabis regulator requirements with counsel.</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Payroll Journal Entry</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GL entry that records wages, taxes, and employer-side contributions in QuickBooks Online.</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Employee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Records time accurately each shift and submits time for approval.</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Manager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and approves direct-report time at the close of the pay period; communicates new hires, terminations, and changes to Accounting and HR.</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Processes payroll through the payroll provider; posts the payroll JE; performs the payroll bank-account reconciliation.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the payroll register before release; approves compensation changes, bonuses, and one-time payments.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the payroll JE coding and the payroll bank reconciliation in the close package.</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Eligibility &amp; Badging</w:t>
      </w:r>
    </w:p>
    <w:p>
      <w:pPr>
        <w:pStyle w:val="ListBullet"/>
        <w:spacing w:before="20" w:after="40"/>
      </w:pPr>
      <w:r>
        <w:rPr>
          <w:rFonts w:ascii="Calibri" w:hAnsi="Calibri"/>
          <w:b w:val="0"/>
          <w:color w:val="2B2B2B"/>
          <w:sz w:val="19"/>
        </w:rPr>
        <w:t>Payroll eligibility is conditioned on a current state cannabis regulator-issued agent badge per current state regulator guidance — confirm with counsel.</w:t>
      </w:r>
    </w:p>
    <w:p>
      <w:pPr>
        <w:pStyle w:val="ListBullet"/>
        <w:spacing w:before="20" w:after="40"/>
      </w:pPr>
      <w:r>
        <w:rPr>
          <w:rFonts w:ascii="Calibri" w:hAnsi="Calibri"/>
          <w:b w:val="0"/>
          <w:color w:val="2B2B2B"/>
          <w:sz w:val="19"/>
        </w:rPr>
        <w:t>Accounting and HR maintain the badge expiration list and notify Managers in advance of expirations.</w:t>
      </w:r>
    </w:p>
    <w:p>
      <w:pPr>
        <w:pStyle w:val="ListBullet"/>
        <w:spacing w:before="20" w:after="40"/>
      </w:pPr>
      <w:r>
        <w:rPr>
          <w:rFonts w:ascii="Calibri" w:hAnsi="Calibri"/>
          <w:b w:val="0"/>
          <w:color w:val="2B2B2B"/>
          <w:sz w:val="19"/>
        </w:rPr>
        <w:t>An employee whose badge has lapsed is removed from the schedule until the badge is renewed; payroll for any time worked without a current badge is escalated to Owner and Controller.</w:t>
      </w:r>
    </w:p>
    <w:p>
      <w:pPr>
        <w:spacing w:before="120" w:after="60"/>
      </w:pPr>
      <w:r>
        <w:rPr>
          <w:rFonts w:ascii="Calibri" w:hAnsi="Calibri"/>
          <w:b/>
          <w:color w:val="5A2A4D"/>
          <w:sz w:val="20"/>
        </w:rPr>
        <w:t>B. Timekeeping</w:t>
      </w:r>
    </w:p>
    <w:p>
      <w:pPr>
        <w:pStyle w:val="ListBullet"/>
        <w:spacing w:before="20" w:after="40"/>
      </w:pPr>
      <w:r>
        <w:rPr>
          <w:rFonts w:ascii="Calibri" w:hAnsi="Calibri"/>
          <w:b w:val="0"/>
          <w:color w:val="2B2B2B"/>
          <w:sz w:val="19"/>
        </w:rPr>
        <w:t>Each employee records time at the start and end of each shift via the time system; off-the-clock work is prohibited.</w:t>
      </w:r>
    </w:p>
    <w:p>
      <w:pPr>
        <w:pStyle w:val="ListBullet"/>
        <w:spacing w:before="20" w:after="40"/>
      </w:pPr>
      <w:r>
        <w:rPr>
          <w:rFonts w:ascii="Calibri" w:hAnsi="Calibri"/>
          <w:b w:val="0"/>
          <w:color w:val="2B2B2B"/>
          <w:sz w:val="19"/>
        </w:rPr>
        <w:t>Managers review and approve direct-report time at the close of the pay period; corrections require Manager approval and a documented reason.</w:t>
      </w:r>
    </w:p>
    <w:p>
      <w:pPr>
        <w:spacing w:before="120" w:after="60"/>
      </w:pPr>
      <w:r>
        <w:rPr>
          <w:rFonts w:ascii="Calibri" w:hAnsi="Calibri"/>
          <w:b/>
          <w:color w:val="5A2A4D"/>
          <w:sz w:val="20"/>
        </w:rPr>
        <w:t>C. Payroll Processing</w:t>
      </w:r>
    </w:p>
    <w:p>
      <w:pPr>
        <w:pStyle w:val="ListBullet"/>
        <w:spacing w:before="20" w:after="40"/>
      </w:pPr>
      <w:r>
        <w:rPr>
          <w:rFonts w:ascii="Calibri" w:hAnsi="Calibri"/>
          <w:b w:val="0"/>
          <w:color w:val="2B2B2B"/>
          <w:sz w:val="19"/>
        </w:rPr>
        <w:t>Accounting closes the time period, imports approved time into the payroll provider, and reviews the preliminary payroll register for accuracy.</w:t>
      </w:r>
    </w:p>
    <w:p>
      <w:pPr>
        <w:pStyle w:val="ListBullet"/>
        <w:spacing w:before="20" w:after="40"/>
      </w:pPr>
      <w:r>
        <w:rPr>
          <w:rFonts w:ascii="Calibri" w:hAnsi="Calibri"/>
          <w:b w:val="0"/>
          <w:color w:val="2B2B2B"/>
          <w:sz w:val="19"/>
        </w:rPr>
        <w:t>Owner reviews and approves the final payroll register before release; the approval evidence is retained.</w:t>
      </w:r>
    </w:p>
    <w:p>
      <w:pPr>
        <w:pStyle w:val="ListBullet"/>
        <w:spacing w:before="20" w:after="40"/>
      </w:pPr>
      <w:r>
        <w:rPr>
          <w:rFonts w:ascii="Calibri" w:hAnsi="Calibri"/>
          <w:b w:val="0"/>
          <w:color w:val="2B2B2B"/>
          <w:sz w:val="19"/>
        </w:rPr>
        <w:t>Payroll funding is moved from the operating account to the payroll account per SOP 04 before the payroll provider drafts funds.</w:t>
      </w:r>
    </w:p>
    <w:p>
      <w:pPr>
        <w:spacing w:before="120" w:after="60"/>
      </w:pPr>
      <w:r>
        <w:rPr>
          <w:rFonts w:ascii="Calibri" w:hAnsi="Calibri"/>
          <w:b/>
          <w:color w:val="5A2A4D"/>
          <w:sz w:val="20"/>
        </w:rPr>
        <w:t>D. Tax Withholding &amp; Remittance</w:t>
      </w:r>
    </w:p>
    <w:p>
      <w:pPr>
        <w:pStyle w:val="ListBullet"/>
        <w:spacing w:before="20" w:after="40"/>
      </w:pPr>
      <w:r>
        <w:rPr>
          <w:rFonts w:ascii="Calibri" w:hAnsi="Calibri"/>
          <w:b w:val="0"/>
          <w:color w:val="2B2B2B"/>
          <w:sz w:val="19"/>
        </w:rPr>
        <w:t>Federal and applicable state payroll taxes are withheld and remitted by the payroll provider on the prescribed deposit schedule.</w:t>
      </w:r>
    </w:p>
    <w:p>
      <w:pPr>
        <w:pStyle w:val="ListBullet"/>
        <w:spacing w:before="20" w:after="40"/>
      </w:pPr>
      <w:r>
        <w:rPr>
          <w:rFonts w:ascii="Calibri" w:hAnsi="Calibri"/>
          <w:b w:val="0"/>
          <w:color w:val="2B2B2B"/>
          <w:sz w:val="19"/>
        </w:rPr>
        <w:t>Accounting confirms each scheduled deposit cleared and that quarterly and annual filings (941s, W-2s, MD MW506, MW508) are timely.</w:t>
      </w:r>
    </w:p>
    <w:p>
      <w:pPr>
        <w:spacing w:before="120" w:after="60"/>
      </w:pPr>
      <w:r>
        <w:rPr>
          <w:rFonts w:ascii="Calibri" w:hAnsi="Calibri"/>
          <w:b/>
          <w:color w:val="5A2A4D"/>
          <w:sz w:val="20"/>
        </w:rPr>
        <w:t>E. Posting to QBO &amp; Close</w:t>
      </w:r>
    </w:p>
    <w:p>
      <w:pPr>
        <w:pStyle w:val="ListBullet"/>
        <w:spacing w:before="20" w:after="40"/>
      </w:pPr>
      <w:r>
        <w:rPr>
          <w:rFonts w:ascii="Calibri" w:hAnsi="Calibri"/>
          <w:b w:val="0"/>
          <w:color w:val="2B2B2B"/>
          <w:sz w:val="19"/>
        </w:rPr>
        <w:t>Accounting posts the payroll JE in QBO with wages, employer taxes, benefit contributions, and payroll fees coded to the chart of accounts.</w:t>
      </w:r>
    </w:p>
    <w:p>
      <w:pPr>
        <w:pStyle w:val="ListBullet"/>
        <w:spacing w:before="20" w:after="40"/>
      </w:pPr>
      <w:r>
        <w:rPr>
          <w:rFonts w:ascii="Calibri" w:hAnsi="Calibri"/>
          <w:b w:val="0"/>
          <w:color w:val="2B2B2B"/>
          <w:sz w:val="19"/>
        </w:rPr>
        <w:t>Production and business labor is coded to inventoriable labor where appropriate to support COGS classification under 280E — confirm coding approach with the cannabis CPA (cross-reference SOP 15).</w:t>
      </w:r>
    </w:p>
    <w:p>
      <w:pPr>
        <w:pStyle w:val="ListBullet"/>
        <w:spacing w:before="20" w:after="40"/>
      </w:pPr>
      <w:r>
        <w:rPr>
          <w:rFonts w:ascii="Calibri" w:hAnsi="Calibri"/>
          <w:b w:val="0"/>
          <w:color w:val="2B2B2B"/>
          <w:sz w:val="19"/>
        </w:rPr>
        <w:t>The payroll bank reconciliation is performed monthly per SOP 10 and included in the close package per SOP 17.</w:t>
      </w:r>
    </w:p>
    <w:p>
      <w:pPr>
        <w:spacing w:before="120" w:after="80"/>
      </w:pPr>
      <w:r>
        <w:rPr>
          <w:rFonts w:ascii="Calibri" w:hAnsi="Calibri"/>
          <w:b w:val="0"/>
          <w:color w:val="707070"/>
          <w:sz w:val="17"/>
        </w:rPr>
        <w:t>Pay-period cadence, the payroll provider, the time system, and the compensation structure are management decisions. Cannabis agent-badge eligibility and renewal procedures should be verified against current state regulator guidance — this SOP should be confirmed with counsel before adoption.</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Owner approval of the final payroll register before release.</w:t>
      </w:r>
    </w:p>
    <w:p>
      <w:pPr>
        <w:pStyle w:val="ListBullet"/>
        <w:spacing w:before="20" w:after="40"/>
      </w:pPr>
      <w:r>
        <w:rPr>
          <w:rFonts w:ascii="Calibri" w:hAnsi="Calibri"/>
          <w:b w:val="0"/>
          <w:color w:val="2B2B2B"/>
          <w:sz w:val="19"/>
        </w:rPr>
        <w:t>Manager approval of direct-report time at pay-period close.</w:t>
      </w:r>
    </w:p>
    <w:p>
      <w:pPr>
        <w:pStyle w:val="ListBullet"/>
        <w:spacing w:before="20" w:after="40"/>
      </w:pPr>
      <w:r>
        <w:rPr>
          <w:rFonts w:ascii="Calibri" w:hAnsi="Calibri"/>
          <w:b w:val="0"/>
          <w:color w:val="2B2B2B"/>
          <w:sz w:val="19"/>
        </w:rPr>
        <w:t>Off-the-clock work prohibited; corrections require documented Manager approval.</w:t>
      </w:r>
    </w:p>
    <w:p>
      <w:pPr>
        <w:pStyle w:val="ListBullet"/>
        <w:spacing w:before="20" w:after="40"/>
      </w:pPr>
      <w:r>
        <w:rPr>
          <w:rFonts w:ascii="Calibri" w:hAnsi="Calibri"/>
          <w:b w:val="0"/>
          <w:color w:val="2B2B2B"/>
          <w:sz w:val="19"/>
        </w:rPr>
        <w:t>Segregation between payroll processing (Accounting) and payroll release (Owner) — the processor does not also release.</w:t>
      </w:r>
    </w:p>
    <w:p>
      <w:pPr>
        <w:pStyle w:val="ListBullet"/>
        <w:spacing w:before="20" w:after="40"/>
      </w:pPr>
      <w:r>
        <w:rPr>
          <w:rFonts w:ascii="Calibri" w:hAnsi="Calibri"/>
          <w:b w:val="0"/>
          <w:color w:val="2B2B2B"/>
          <w:sz w:val="19"/>
        </w:rPr>
        <w:t>Badge-eligibility check before payroll release.</w:t>
      </w:r>
    </w:p>
    <w:p>
      <w:pPr>
        <w:pStyle w:val="ListBullet"/>
        <w:spacing w:before="20" w:after="40"/>
      </w:pPr>
      <w:r>
        <w:rPr>
          <w:rFonts w:ascii="Calibri" w:hAnsi="Calibri"/>
          <w:b w:val="0"/>
          <w:color w:val="2B2B2B"/>
          <w:sz w:val="19"/>
        </w:rPr>
        <w:t>Monthly payroll bank reconciliation included in close.</w:t>
      </w:r>
    </w:p>
    <w:p>
      <w:pPr>
        <w:pStyle w:val="ListBullet"/>
        <w:spacing w:before="20" w:after="40"/>
      </w:pPr>
      <w:r>
        <w:rPr>
          <w:rFonts w:ascii="Calibri" w:hAnsi="Calibri"/>
          <w:b w:val="0"/>
          <w:color w:val="2B2B2B"/>
          <w:sz w:val="19"/>
        </w:rPr>
        <w:t>Controller independent review of payroll JE coding for 280E classification.</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Cannabis-agent badging is an applicable state licensing requirement and is a precondition for working at a licensed facility — verify current state cannabis regulator requirements with counsel. Payroll tax filing and remittance are governed by IRS and applicable state Comptroller rules. 280E classification of payroll between COGS and operating expense should be confirmed with the cannabis CPA.</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State cannabis regulator agent-badge requirement</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Working at a licensed cannabis facility requires a current state cannabis regulator-issued agent badge — confirm current requirements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IRC §280E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Classification of payroll between COGS (production / inventoriable) and operating expense materially affects deductibility — confirm with CPA.</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IRS payroll deposit and filing rules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Timely deposit and filing of federal payroll taxes; quarterly 941 and annual W-2.</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Comptroller — payroll withholding &amp; MW506/MW508</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Timely applicable state withholding deposit and filing.</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 approval of payroll register</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Authorizing control on the largest recurring outflow.</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Segregation between processor and releaser</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Different individuals on processing and release.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Badge-eligibility check at payroll release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Operational and regulatory control on eligibility.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payroll bank reconciliation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Detects timing differences and unauthorized payments.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 280E coding 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Independent review supports defensible tax position.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Approved time records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09_Payroll / 01_Time &amp; Attendance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Payroll registers (approved)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09_Payroll / 02_Payroll Registers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Payroll tax filings and confirmations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09_Payroll / 03_Tax Filings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Agent badge tracking</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09_Payroll / 04_Badging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employment + retention period required by state cannabis regulator — confirm</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Payroll JEs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02_Journal Entries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Time recorded without a current badge: payroll for that time is held; escalation to Owner and Controller the same business day.</w:t>
      </w:r>
    </w:p>
    <w:p>
      <w:pPr>
        <w:pStyle w:val="ListBullet"/>
        <w:spacing w:before="20" w:after="40"/>
      </w:pPr>
      <w:r>
        <w:rPr>
          <w:rFonts w:ascii="Calibri" w:hAnsi="Calibri"/>
          <w:b w:val="0"/>
          <w:color w:val="2B2B2B"/>
          <w:sz w:val="19"/>
        </w:rPr>
        <w:t>Payroll register approved late: documented in the close package; root cause addressed in the next close.</w:t>
      </w:r>
    </w:p>
    <w:p>
      <w:pPr>
        <w:pStyle w:val="ListBullet"/>
        <w:spacing w:before="20" w:after="40"/>
      </w:pPr>
      <w:r>
        <w:rPr>
          <w:rFonts w:ascii="Calibri" w:hAnsi="Calibri"/>
          <w:b w:val="0"/>
          <w:color w:val="2B2B2B"/>
          <w:sz w:val="19"/>
        </w:rPr>
        <w:t>Tax deposit missed: escalated to Owner and Controller the same business day; remediation and any penalty exposure documented.</w:t>
      </w:r>
    </w:p>
    <w:p>
      <w:pPr>
        <w:pStyle w:val="ListBullet"/>
        <w:spacing w:before="20" w:after="40"/>
      </w:pPr>
      <w:r>
        <w:rPr>
          <w:rFonts w:ascii="Calibri" w:hAnsi="Calibri"/>
          <w:b w:val="0"/>
          <w:color w:val="2B2B2B"/>
          <w:sz w:val="19"/>
        </w:rPr>
        <w:t>Material payroll variance vs. expectation: investigated before release; Owner is informed before approving the register.</w:t>
      </w:r>
    </w:p>
    <w:p>
      <w:pPr>
        <w:pStyle w:val="ListBullet"/>
        <w:spacing w:before="20" w:after="40"/>
      </w:pPr>
      <w:r>
        <w:rPr>
          <w:rFonts w:ascii="Calibri" w:hAnsi="Calibri"/>
          <w:b w:val="0"/>
          <w:color w:val="2B2B2B"/>
          <w:sz w:val="19"/>
        </w:rPr>
        <w:t>Suspected ghost employee or fraudulent payment: escalated to Owner and Controller; release held pending investigation.</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Bank Reconciliation</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10 — Bank Reconciliation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Accounting (Bookkeeper / In-House Lead) with Controller independent review</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reconciles every bank account each month, identifies and clears reconciling items, and provides an audit-ready record of cash. Bank reconciliation is the foundational control on cash and is required for the close (SOP 17).</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every Company bank account — operating, payroll, tax-reserve, and merchant-settlement — and to any custodial or escrow account Company maintains. It complements SOP 04 (Banking &amp; Deposit Controls).</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Reconciliation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comparison of the GL balance for a cash account to the bank statement, with documented identification of timing differences and errors.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Reconciling Item</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difference between the GL and the bank statement explained by timing (outstanding deposit, outstanding check) or by a known error to be corrected.</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Stale Item</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reconciling item outstanding beyond a defined threshold (typically 30 days), requiring investigation.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Bank Feed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automated feed from the financial institution into QBO; the feed assists categorization but does not substitute for formal reconciliation.</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Performs the reconciliation, investigates reconciling items, posts correcting JEs per SOP 18, and files the signed reconciliation.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Independently reviews each reconciliation as part of the close package per SOP 17.</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the reconciliation through the close-package sign-off.</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Setup</w:t>
      </w:r>
    </w:p>
    <w:p>
      <w:pPr>
        <w:pStyle w:val="ListBullet"/>
        <w:spacing w:before="20" w:after="40"/>
      </w:pPr>
      <w:r>
        <w:rPr>
          <w:rFonts w:ascii="Calibri" w:hAnsi="Calibri"/>
          <w:b w:val="0"/>
          <w:color w:val="2B2B2B"/>
          <w:sz w:val="19"/>
        </w:rPr>
        <w:t>Each bank account is reconciled monthly using the QBO reconciliation function (or an external workpaper if appropriate).</w:t>
      </w:r>
    </w:p>
    <w:p>
      <w:pPr>
        <w:pStyle w:val="ListBullet"/>
        <w:spacing w:before="20" w:after="40"/>
      </w:pPr>
      <w:r>
        <w:rPr>
          <w:rFonts w:ascii="Calibri" w:hAnsi="Calibri"/>
          <w:b w:val="0"/>
          <w:color w:val="2B2B2B"/>
          <w:sz w:val="19"/>
        </w:rPr>
        <w:t>The reconciliation requires the bank statement, the GL balance, and the supporting deposit and payment evidence per SOPs 01–04.</w:t>
      </w:r>
    </w:p>
    <w:p>
      <w:pPr>
        <w:spacing w:before="120" w:after="60"/>
      </w:pPr>
      <w:r>
        <w:rPr>
          <w:rFonts w:ascii="Calibri" w:hAnsi="Calibri"/>
          <w:b/>
          <w:color w:val="5A2A4D"/>
          <w:sz w:val="20"/>
        </w:rPr>
        <w:t>B. Reconciliation</w:t>
      </w:r>
    </w:p>
    <w:p>
      <w:pPr>
        <w:pStyle w:val="ListBullet"/>
        <w:spacing w:before="20" w:after="40"/>
      </w:pPr>
      <w:r>
        <w:rPr>
          <w:rFonts w:ascii="Calibri" w:hAnsi="Calibri"/>
          <w:b w:val="0"/>
          <w:color w:val="2B2B2B"/>
          <w:sz w:val="19"/>
        </w:rPr>
        <w:t>Accounting compares cleared transactions in the bank feed to recorded transactions in QBO; reconciling items are identified.</w:t>
      </w:r>
    </w:p>
    <w:p>
      <w:pPr>
        <w:pStyle w:val="ListBullet"/>
        <w:spacing w:before="20" w:after="40"/>
      </w:pPr>
      <w:r>
        <w:rPr>
          <w:rFonts w:ascii="Calibri" w:hAnsi="Calibri"/>
          <w:b w:val="0"/>
          <w:color w:val="2B2B2B"/>
          <w:sz w:val="19"/>
        </w:rPr>
        <w:t>Outstanding deposits and checks are listed with date and amount; stale items are flagged.</w:t>
      </w:r>
    </w:p>
    <w:p>
      <w:pPr>
        <w:pStyle w:val="ListBullet"/>
        <w:spacing w:before="20" w:after="40"/>
      </w:pPr>
      <w:r>
        <w:rPr>
          <w:rFonts w:ascii="Calibri" w:hAnsi="Calibri"/>
          <w:b w:val="0"/>
          <w:color w:val="2B2B2B"/>
          <w:sz w:val="19"/>
        </w:rPr>
        <w:t>Errors (mis-posted accounts, mis-keyed amounts, duplicates) are corrected by an Adjusting JE per SOP 18; the corrected reconciliation is re-run.</w:t>
      </w:r>
    </w:p>
    <w:p>
      <w:pPr>
        <w:spacing w:before="120" w:after="60"/>
      </w:pPr>
      <w:r>
        <w:rPr>
          <w:rFonts w:ascii="Calibri" w:hAnsi="Calibri"/>
          <w:b/>
          <w:color w:val="5A2A4D"/>
          <w:sz w:val="20"/>
        </w:rPr>
        <w:t>C. Stale Item Discipline</w:t>
      </w:r>
    </w:p>
    <w:p>
      <w:pPr>
        <w:pStyle w:val="ListBullet"/>
        <w:spacing w:before="20" w:after="40"/>
      </w:pPr>
      <w:r>
        <w:rPr>
          <w:rFonts w:ascii="Calibri" w:hAnsi="Calibri"/>
          <w:b w:val="0"/>
          <w:color w:val="2B2B2B"/>
          <w:sz w:val="19"/>
        </w:rPr>
        <w:t>Outstanding checks older than 90 days are confirmed with the payee and either re-issued or escheated as required by applicable state unclaimed property rules — confirm with counsel/CPA.</w:t>
      </w:r>
    </w:p>
    <w:p>
      <w:pPr>
        <w:pStyle w:val="ListBullet"/>
        <w:spacing w:before="20" w:after="40"/>
      </w:pPr>
      <w:r>
        <w:rPr>
          <w:rFonts w:ascii="Calibri" w:hAnsi="Calibri"/>
          <w:b w:val="0"/>
          <w:color w:val="2B2B2B"/>
          <w:sz w:val="19"/>
        </w:rPr>
        <w:t>Outstanding deposits not credited within five business days are investigated with the financial institution.</w:t>
      </w:r>
    </w:p>
    <w:p>
      <w:pPr>
        <w:spacing w:before="120" w:after="60"/>
      </w:pPr>
      <w:r>
        <w:rPr>
          <w:rFonts w:ascii="Calibri" w:hAnsi="Calibri"/>
          <w:b/>
          <w:color w:val="5A2A4D"/>
          <w:sz w:val="20"/>
        </w:rPr>
        <w:t>D. Documentation &amp; Hand-off</w:t>
      </w:r>
    </w:p>
    <w:p>
      <w:pPr>
        <w:pStyle w:val="ListBullet"/>
        <w:spacing w:before="20" w:after="40"/>
      </w:pPr>
      <w:r>
        <w:rPr>
          <w:rFonts w:ascii="Calibri" w:hAnsi="Calibri"/>
          <w:b w:val="0"/>
          <w:color w:val="2B2B2B"/>
          <w:sz w:val="19"/>
        </w:rPr>
        <w:t>The completed reconciliation is signed (or QBO-logged) and filed to document management system (02_Banking / 03_Reconciliations).</w:t>
      </w:r>
    </w:p>
    <w:p>
      <w:pPr>
        <w:pStyle w:val="ListBullet"/>
        <w:spacing w:before="20" w:after="40"/>
      </w:pPr>
      <w:r>
        <w:rPr>
          <w:rFonts w:ascii="Calibri" w:hAnsi="Calibri"/>
          <w:b w:val="0"/>
          <w:color w:val="2B2B2B"/>
          <w:sz w:val="19"/>
        </w:rPr>
        <w:t>The reconciliation is included in the monthly close package per SOP 17 and reviewed by Controller.</w:t>
      </w:r>
    </w:p>
    <w:p>
      <w:pPr>
        <w:spacing w:before="120" w:after="80"/>
      </w:pPr>
      <w:r>
        <w:rPr>
          <w:rFonts w:ascii="Calibri" w:hAnsi="Calibri"/>
          <w:b w:val="0"/>
          <w:color w:val="707070"/>
          <w:sz w:val="17"/>
        </w:rPr>
        <w:t>The specific stale-item thresholds and escheatment treatment are management decisions guided by applicable state unclaimed-property rules — confirm with counsel/CPA.</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Monthly reconciliation of every cash account, no exceptions.</w:t>
      </w:r>
    </w:p>
    <w:p>
      <w:pPr>
        <w:pStyle w:val="ListBullet"/>
        <w:spacing w:before="20" w:after="40"/>
      </w:pPr>
      <w:r>
        <w:rPr>
          <w:rFonts w:ascii="Calibri" w:hAnsi="Calibri"/>
          <w:b w:val="0"/>
          <w:color w:val="2B2B2B"/>
          <w:sz w:val="19"/>
        </w:rPr>
        <w:t>Reconciliation performed by Accounting and independently reviewed by Controller in the close package.</w:t>
      </w:r>
    </w:p>
    <w:p>
      <w:pPr>
        <w:pStyle w:val="ListBullet"/>
        <w:spacing w:before="20" w:after="40"/>
      </w:pPr>
      <w:r>
        <w:rPr>
          <w:rFonts w:ascii="Calibri" w:hAnsi="Calibri"/>
          <w:b w:val="0"/>
          <w:color w:val="2B2B2B"/>
          <w:sz w:val="19"/>
        </w:rPr>
        <w:t>Errors corrected only by Adjusting JEs per SOP 18 — no direct adjustment of prior periods.</w:t>
      </w:r>
    </w:p>
    <w:p>
      <w:pPr>
        <w:pStyle w:val="ListBullet"/>
        <w:spacing w:before="20" w:after="40"/>
      </w:pPr>
      <w:r>
        <w:rPr>
          <w:rFonts w:ascii="Calibri" w:hAnsi="Calibri"/>
          <w:b w:val="0"/>
          <w:color w:val="2B2B2B"/>
          <w:sz w:val="19"/>
        </w:rPr>
        <w:t>Stale items aged and reported in the close package.</w:t>
      </w:r>
    </w:p>
    <w:p>
      <w:pPr>
        <w:pStyle w:val="ListBullet"/>
        <w:spacing w:before="20" w:after="40"/>
      </w:pPr>
      <w:r>
        <w:rPr>
          <w:rFonts w:ascii="Calibri" w:hAnsi="Calibri"/>
          <w:b w:val="0"/>
          <w:color w:val="2B2B2B"/>
          <w:sz w:val="19"/>
        </w:rPr>
        <w:t>Bank statements and signed reconciliations retained centrally in document management system.</w:t>
      </w:r>
    </w:p>
    <w:p>
      <w:pPr>
        <w:pStyle w:val="ListBullet"/>
        <w:spacing w:before="20" w:after="40"/>
      </w:pPr>
      <w:r>
        <w:rPr>
          <w:rFonts w:ascii="Calibri" w:hAnsi="Calibri"/>
          <w:b w:val="0"/>
          <w:color w:val="2B2B2B"/>
          <w:sz w:val="19"/>
        </w:rPr>
        <w:t>Segregation: the individual who handles deposits is not the individual who reconciles (cross-reference SOP 04).</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Bank reconciliation is an accounting best practice and an internal control; applicable state regulations do not prescribe specific reconciliation procedures. Stale item escheatment is governed by applicable state unclaimed-property law — confirm with counsel/CPA before adopting a specific aging threshold.</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reconciliation of every cash account</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Foundational cash control.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Independent Controller 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Detects error and supports the close.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Segregation between deposit handling and reconciliation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Cross-reference SOP 04.</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Adjusting JEs for corrections only</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Audit-trail discipline; cross-reference SOP 18.</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Stale-item 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Detects errors and supports escheatment compliance.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unclaimed-property rules for stale items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Confirm escheatment timing and reporting with counsel/CPA.</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Retention of signed reconciliations and statements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Audit-readiness.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Bank statements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02_Banking / 01_Bank Statements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reconciliations (signed or QBO-logged)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02_Banking / 03_Reconciliations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Reconciling-items aging</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02_Banking / 03_Reconciliations / Aging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Correcting JEs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02_Journal Entries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Reconciliation that does not balance after a documented attempt: escalated to Controller the same business day; the close package is held pending resolution.</w:t>
      </w:r>
    </w:p>
    <w:p>
      <w:pPr>
        <w:pStyle w:val="ListBullet"/>
        <w:spacing w:before="20" w:after="40"/>
      </w:pPr>
      <w:r>
        <w:rPr>
          <w:rFonts w:ascii="Calibri" w:hAnsi="Calibri"/>
          <w:b w:val="0"/>
          <w:color w:val="2B2B2B"/>
          <w:sz w:val="19"/>
        </w:rPr>
        <w:t>Stale outstanding check beyond applicable state escheatment threshold: routed to the escheatment / unclaimed-property process — confirm with counsel/CPA.</w:t>
      </w:r>
    </w:p>
    <w:p>
      <w:pPr>
        <w:pStyle w:val="ListBullet"/>
        <w:spacing w:before="20" w:after="40"/>
      </w:pPr>
      <w:r>
        <w:rPr>
          <w:rFonts w:ascii="Calibri" w:hAnsi="Calibri"/>
          <w:b w:val="0"/>
          <w:color w:val="2B2B2B"/>
          <w:sz w:val="19"/>
        </w:rPr>
        <w:t>Material reconciling item (above a defined threshold): noted in the close narrative and reviewed by Owner.</w:t>
      </w:r>
    </w:p>
    <w:p>
      <w:pPr>
        <w:pStyle w:val="ListBullet"/>
        <w:spacing w:before="20" w:after="40"/>
      </w:pPr>
      <w:r>
        <w:rPr>
          <w:rFonts w:ascii="Calibri" w:hAnsi="Calibri"/>
          <w:b w:val="0"/>
          <w:color w:val="2B2B2B"/>
          <w:sz w:val="19"/>
        </w:rPr>
        <w:t>Suspected unauthorized banking activity: cross-reference SOP 04 escalation.</w:t>
      </w:r>
    </w:p>
    <w:p>
      <w:pPr>
        <w:pStyle w:val="ListBullet"/>
        <w:spacing w:before="20" w:after="40"/>
      </w:pPr>
      <w:r>
        <w:rPr>
          <w:rFonts w:ascii="Calibri" w:hAnsi="Calibri"/>
          <w:b w:val="0"/>
          <w:color w:val="2B2B2B"/>
          <w:sz w:val="19"/>
        </w:rPr>
        <w:t>Repeated month-over-month errors of the same type: escalated to Controller for a controls review.</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40"/>
      </w:pPr>
      <w:r>
        <w:rPr>
          <w:rFonts w:ascii="Calibri" w:hAnsi="Calibri"/>
          <w:b/>
          <w:color w:val="707070"/>
          <w:sz w:val="16"/>
          <w:spacing w:val="30"/>
        </w:rPr>
        <w:t>FINANCIAL FOUNDATIONS · STANDARD OPERATING PROCEDURE EXAMPLE — FOR TRAINING USE</w:t>
      </w:r>
    </w:p>
    <w:p>
      <w:pPr>
        <w:spacing w:after="20"/>
      </w:pPr>
      <w:r>
        <w:rPr>
          <w:rFonts w:ascii="Calibri" w:hAnsi="Calibri"/>
          <w:b/>
          <w:color w:val="5A2A4D"/>
          <w:sz w:val="48"/>
        </w:rPr>
        <w:t>Inventory Counts &amp; Track-and-Trace Reconciliation</w:t>
      </w:r>
    </w:p>
    <w:p>
      <w:pPr>
        <w:spacing w:after="120"/>
        <w:pBdr>
          <w:bottom w:val="single" w:sz="10" w:space="3" w:color="D8C7D1"/>
        </w:pBdr>
      </w:pPr>
      <w:r>
        <w:rPr>
          <w:rFonts w:ascii="Calibri" w:hAnsi="Calibri"/>
          <w:color w:val="2B2B2B"/>
          <w:sz w:val="24"/>
        </w:rPr>
        <w:t>Priority-1 Standard Operating Procedure · the Company</w:t>
      </w:r>
    </w:p>
    <w:p>
      <w:pPr>
        <w:spacing w:after="180"/>
      </w:pPr>
      <w:r>
        <w:rPr>
          <w:rFonts w:ascii="Calibri" w:hAnsi="Calibri"/>
          <w:i/>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800"/>
            <w:shd w:val="clear" w:color="auto" w:fill="EFE3EA"/>
          </w:tcPr>
          <w:p>
            <w:pPr>
              <w:spacing w:after="0" w:before="0"/>
            </w:pPr>
            <w:r/>
            <w:r>
              <w:rPr>
                <w:rFonts w:ascii="Calibri" w:hAnsi="Calibri"/>
                <w:b/>
                <w:i w:val="0"/>
                <w:color w:val="5A2A4D"/>
                <w:sz w:val="18"/>
              </w:rPr>
              <w:t>SOP ID</w:t>
            </w:r>
          </w:p>
        </w:tc>
        <w:tc>
          <w:tcPr>
            <w:tcW w:type="dxa" w:w="2880"/>
          </w:tcPr>
          <w:p>
            <w:pPr>
              <w:spacing w:after="0" w:before="0"/>
            </w:pPr>
            <w:r>
              <w:t xml:space="preserve">SOP </w:t>
            </w:r>
            <w:r>
              <w:rPr>
                <w:rFonts w:ascii="Calibri" w:hAnsi="Calibri"/>
                <w:b w:val="0"/>
                <w:i w:val="0"/>
                <w:color w:val="2B2B2B"/>
                <w:sz w:val="18"/>
              </w:rPr>
              <w:t>11 — Inventory Counts &amp; track-and-trace system Recon.</w:t>
            </w:r>
          </w:p>
        </w:tc>
        <w:tc>
          <w:tcPr>
            <w:tcW w:type="dxa" w:w="1800"/>
            <w:shd w:val="clear" w:color="auto" w:fill="EFE3EA"/>
          </w:tcPr>
          <w:p>
            <w:pPr>
              <w:spacing w:after="0" w:before="0"/>
            </w:pPr>
            <w:r/>
            <w:r>
              <w:rPr>
                <w:rFonts w:ascii="Calibri" w:hAnsi="Calibri"/>
                <w:b/>
                <w:i w:val="0"/>
                <w:color w:val="5A2A4D"/>
                <w:sz w:val="18"/>
              </w:rPr>
              <w:t>Version</w:t>
            </w:r>
          </w:p>
        </w:tc>
        <w:tc>
          <w:tcPr>
            <w:tcW w:type="dxa" w:w="2880"/>
          </w:tcPr>
          <w:p>
            <w:pPr>
              <w:spacing w:after="0" w:before="0"/>
            </w:pPr>
            <w:r/>
            <w:r>
              <w:rPr>
                <w:rFonts w:ascii="Calibri" w:hAnsi="Calibri"/>
                <w:b w:val="0"/>
                <w:i w:val="0"/>
                <w:color w:val="2B2B2B"/>
                <w:sz w:val="18"/>
              </w:rPr>
              <w:t>Sample v1.0</w:t>
            </w:r>
          </w:p>
        </w:tc>
      </w:tr>
      <w:tr>
        <w:tc>
          <w:tcPr>
            <w:tcW w:type="dxa" w:w="1800"/>
            <w:shd w:val="clear" w:color="auto" w:fill="EFE3EA"/>
          </w:tcPr>
          <w:p>
            <w:pPr>
              <w:spacing w:after="0" w:before="0"/>
            </w:pPr>
            <w:r/>
            <w:r>
              <w:rPr>
                <w:rFonts w:ascii="Calibri" w:hAnsi="Calibri"/>
                <w:b/>
                <w:i w:val="0"/>
                <w:color w:val="5A2A4D"/>
                <w:sz w:val="18"/>
              </w:rPr>
              <w:t>Process Owner</w:t>
            </w:r>
          </w:p>
        </w:tc>
        <w:tc>
          <w:tcPr>
            <w:tcW w:type="dxa" w:w="2880"/>
          </w:tcPr>
          <w:p>
            <w:pPr>
              <w:spacing w:after="0" w:before="0"/>
            </w:pPr>
            <w:r/>
            <w:r>
              <w:rPr>
                <w:rFonts w:ascii="Calibri" w:hAnsi="Calibri"/>
                <w:b w:val="0"/>
                <w:i w:val="0"/>
                <w:color w:val="2B2B2B"/>
                <w:sz w:val="18"/>
              </w:rPr>
              <w:t>Inventory Lead / Operations Manager</w:t>
            </w:r>
          </w:p>
        </w:tc>
        <w:tc>
          <w:tcPr>
            <w:tcW w:type="dxa" w:w="1800"/>
            <w:shd w:val="clear" w:color="auto" w:fill="EFE3EA"/>
          </w:tcPr>
          <w:p>
            <w:pPr>
              <w:spacing w:after="0" w:before="0"/>
            </w:pPr>
            <w:r/>
            <w:r>
              <w:rPr>
                <w:rFonts w:ascii="Calibri" w:hAnsi="Calibri"/>
                <w:b/>
                <w:i w:val="0"/>
                <w:color w:val="5A2A4D"/>
                <w:sz w:val="18"/>
              </w:rPr>
              <w:t>Effective Date</w:t>
            </w:r>
          </w:p>
        </w:tc>
        <w:tc>
          <w:tcPr>
            <w:tcW w:type="dxa" w:w="2880"/>
          </w:tcPr>
          <w:p>
            <w:pPr>
              <w:spacing w:after="0" w:before="0"/>
            </w:pPr>
            <w:r/>
            <w:r>
              <w:rPr>
                <w:rFonts w:ascii="Calibri" w:hAnsi="Calibri"/>
                <w:b w:val="0"/>
                <w:i w:val="0"/>
                <w:color w:val="2B2B2B"/>
                <w:sz w:val="18"/>
              </w:rPr>
              <w:t>Sample — training use</w:t>
            </w:r>
          </w:p>
        </w:tc>
      </w:tr>
      <w:tr>
        <w:tc>
          <w:tcPr>
            <w:tcW w:type="dxa" w:w="1800"/>
            <w:shd w:val="clear" w:color="auto" w:fill="EFE3EA"/>
          </w:tcPr>
          <w:p>
            <w:pPr>
              <w:spacing w:after="0" w:before="0"/>
            </w:pPr>
            <w:r/>
            <w:r>
              <w:rPr>
                <w:rFonts w:ascii="Calibri" w:hAnsi="Calibri"/>
                <w:b/>
                <w:i w:val="0"/>
                <w:color w:val="5A2A4D"/>
                <w:sz w:val="18"/>
              </w:rPr>
              <w:t>Prepared By</w:t>
            </w:r>
          </w:p>
        </w:tc>
        <w:tc>
          <w:tcPr>
            <w:tcW w:type="dxa" w:w="2880"/>
          </w:tcPr>
          <w:p>
            <w:pPr>
              <w:spacing w:after="0" w:before="0"/>
            </w:pPr>
            <w:r/>
            <w:r>
              <w:rPr>
                <w:rFonts w:ascii="Calibri" w:hAnsi="Calibri"/>
                <w:b w:val="0"/>
                <w:i w:val="0"/>
                <w:color w:val="2B2B2B"/>
                <w:sz w:val="18"/>
              </w:rPr>
              <w:t>Controller</w:t>
            </w:r>
          </w:p>
        </w:tc>
        <w:tc>
          <w:tcPr>
            <w:tcW w:type="dxa" w:w="1800"/>
            <w:shd w:val="clear" w:color="auto" w:fill="EFE3EA"/>
          </w:tcPr>
          <w:p>
            <w:pPr>
              <w:spacing w:after="0" w:before="0"/>
            </w:pPr>
            <w:r/>
            <w:r>
              <w:rPr>
                <w:rFonts w:ascii="Calibri" w:hAnsi="Calibri"/>
                <w:b/>
                <w:i w:val="0"/>
                <w:color w:val="5A2A4D"/>
                <w:sz w:val="18"/>
              </w:rPr>
              <w:t>Review Cadence</w:t>
            </w:r>
          </w:p>
        </w:tc>
        <w:tc>
          <w:tcPr>
            <w:tcW w:type="dxa" w:w="2880"/>
          </w:tcPr>
          <w:p>
            <w:pPr>
              <w:spacing w:after="0" w:before="0"/>
            </w:pPr>
            <w:r/>
            <w:r>
              <w:rPr>
                <w:rFonts w:ascii="Calibri" w:hAnsi="Calibri"/>
                <w:b w:val="0"/>
                <w:i w:val="0"/>
                <w:color w:val="2B2B2B"/>
                <w:sz w:val="18"/>
              </w:rPr>
              <w:t>Annual, or on process change</w:t>
            </w:r>
          </w:p>
        </w:tc>
      </w:tr>
    </w:tbl>
    <w:p>
      <w:pPr>
        <w:spacing w:before="240" w:after="100"/>
        <w:pBdr>
          <w:bottom w:val="single" w:sz="10" w:space="3" w:color="D8C7D1"/>
        </w:pBdr>
      </w:pPr>
      <w:r>
        <w:rPr>
          <w:rFonts w:ascii="Calibri" w:hAnsi="Calibri"/>
          <w:b/>
          <w:color w:val="5A2A4D"/>
          <w:sz w:val="23"/>
          <w:spacing w:val="14"/>
        </w:rPr>
        <w:t>1. Purpose</w:t>
      </w:r>
    </w:p>
    <w:p>
      <w:pPr>
        <w:spacing w:after="120"/>
      </w:pPr>
      <w:r>
        <w:rPr>
          <w:rFonts w:ascii="Calibri" w:hAnsi="Calibri"/>
          <w:i w:val="0"/>
          <w:color w:val="2B2B2B"/>
          <w:sz w:val="21"/>
        </w:rPr>
        <w:t>This procedure establishes how Company counts its physical cannabis inventory and reconciles it to the state track-and-trace (seed-to-sale) system and the point-of-sale (POS) system. It ensures the physical, regulatory, and financial records of inventory agree; that discrepancies are detected, investigated, and — where required — reported to state cannabis regulator within regulatory timeframes; and that count results support accurate inventory valuation and cost of goods sold.</w:t>
      </w:r>
    </w:p>
    <w:p>
      <w:pPr>
        <w:spacing w:before="240" w:after="100"/>
        <w:pBdr>
          <w:bottom w:val="single" w:sz="10" w:space="3" w:color="D8C7D1"/>
        </w:pBdr>
      </w:pPr>
      <w:r>
        <w:rPr>
          <w:rFonts w:ascii="Calibri" w:hAnsi="Calibri"/>
          <w:b/>
          <w:color w:val="5A2A4D"/>
          <w:sz w:val="23"/>
          <w:spacing w:val="14"/>
        </w:rPr>
        <w:t>2. Scope</w:t>
      </w:r>
    </w:p>
    <w:p>
      <w:pPr>
        <w:spacing w:after="120"/>
      </w:pPr>
      <w:r>
        <w:rPr>
          <w:rFonts w:ascii="Calibri" w:hAnsi="Calibri"/>
          <w:i w:val="0"/>
          <w:color w:val="2B2B2B"/>
          <w:sz w:val="21"/>
        </w:rPr>
        <w:t>This procedure applies to all cannabis and cannabis-product inventory held by the Company, from receipt through sale or disposal. It covers the monthly full physical count required by regulation, recommended rolling cycle counts, reconciliation to track-and-trace system and POS system, discrepancy investigation and state cannabis regulator reporting, and the hand-off of count results to the monthly cost-of-goods process. Non-cannabis retail merchandise is outside this procedure except where noted.</w:t>
      </w:r>
    </w:p>
    <w:p>
      <w:pPr>
        <w:spacing w:before="240" w:after="100"/>
        <w:pBdr>
          <w:bottom w:val="single" w:sz="10" w:space="3" w:color="D8C7D1"/>
        </w:pBdr>
      </w:pPr>
      <w:r>
        <w:rPr>
          <w:rFonts w:ascii="Calibri" w:hAnsi="Calibri"/>
          <w:b/>
          <w:color w:val="5A2A4D"/>
          <w:sz w:val="23"/>
          <w:spacing w:val="14"/>
        </w:rPr>
        <w:t>3. Definitions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376"/>
            <w:shd w:val="clear" w:color="auto" w:fill="5A2A4D"/>
          </w:tcPr>
          <w:p>
            <w:pPr>
              <w:spacing w:after="0" w:before="0"/>
            </w:pPr>
            <w:r/>
            <w:r>
              <w:rPr>
                <w:rFonts w:ascii="Calibri" w:hAnsi="Calibri"/>
                <w:b/>
                <w:i w:val="0"/>
                <w:color w:val="FFFFFF"/>
                <w:sz w:val="17"/>
              </w:rPr>
              <w:t>Term</w:t>
            </w:r>
          </w:p>
        </w:tc>
        <w:tc>
          <w:tcPr>
            <w:tcW w:type="dxa" w:w="6984"/>
            <w:shd w:val="clear" w:color="auto" w:fill="5A2A4D"/>
          </w:tcPr>
          <w:p>
            <w:pPr>
              <w:spacing w:after="0" w:before="0"/>
            </w:pPr>
            <w:r/>
            <w:r>
              <w:rPr>
                <w:rFonts w:ascii="Calibri" w:hAnsi="Calibri"/>
                <w:b/>
                <w:i w:val="0"/>
                <w:color w:val="FFFFFF"/>
                <w:sz w:val="17"/>
              </w:rPr>
              <w:t>Definition</w:t>
            </w:r>
          </w:p>
        </w:tc>
      </w:tr>
      <w:tr>
        <w:tc>
          <w:tcPr>
            <w:tcW w:type="dxa" w:w="2376"/>
            <w:vAlign w:val="center"/>
          </w:tcPr>
          <w:p>
            <w:pPr>
              <w:spacing w:after="0" w:before="0"/>
            </w:pPr>
            <w:r/>
            <w:r>
              <w:rPr>
                <w:rFonts w:ascii="Calibri" w:hAnsi="Calibri"/>
                <w:b/>
                <w:i w:val="0"/>
                <w:color w:val="5A2A4D"/>
                <w:sz w:val="18"/>
              </w:rPr>
              <w:t>Physical Count</w:t>
            </w:r>
          </w:p>
        </w:tc>
        <w:tc>
          <w:tcPr>
            <w:tcW w:type="dxa" w:w="6984"/>
            <w:vAlign w:val="center"/>
          </w:tcPr>
          <w:p>
            <w:pPr>
              <w:spacing w:after="0" w:before="0"/>
            </w:pPr>
            <w:r/>
            <w:r>
              <w:rPr>
                <w:rFonts w:ascii="Calibri" w:hAnsi="Calibri"/>
                <w:b w:val="0"/>
                <w:i w:val="0"/>
                <w:color w:val="2B2B2B"/>
                <w:sz w:val="18"/>
              </w:rPr>
              <w:t>A hands-on count of the cannabis inventory actually present in the business.</w:t>
            </w:r>
          </w:p>
        </w:tc>
      </w:tr>
      <w:tr>
        <w:tc>
          <w:tcPr>
            <w:tcW w:type="dxa" w:w="2376"/>
            <w:vAlign w:val="center"/>
          </w:tcPr>
          <w:p>
            <w:pPr>
              <w:spacing w:after="0" w:before="0"/>
            </w:pPr>
            <w:r/>
            <w:r>
              <w:rPr>
                <w:rFonts w:ascii="Calibri" w:hAnsi="Calibri"/>
                <w:b/>
                <w:i w:val="0"/>
                <w:color w:val="5A2A4D"/>
                <w:sz w:val="18"/>
              </w:rPr>
              <w:t>Track-and-trace system / Seed-to-Sale System</w:t>
            </w:r>
          </w:p>
        </w:tc>
        <w:tc>
          <w:tcPr>
            <w:tcW w:type="dxa" w:w="6984"/>
            <w:vAlign w:val="center"/>
          </w:tcPr>
          <w:p>
            <w:pPr>
              <w:spacing w:after="0" w:before="0"/>
            </w:pPr>
            <w:r/>
            <w:r>
              <w:rPr>
                <w:rFonts w:ascii="Calibri" w:hAnsi="Calibri"/>
                <w:b w:val="0"/>
                <w:i w:val="0"/>
                <w:color w:val="2B2B2B"/>
                <w:sz w:val="18"/>
              </w:rPr>
              <w:t>The state’s mandated tracking system, reflecting the manifested and documented stock of cannabis.</w:t>
            </w:r>
          </w:p>
        </w:tc>
      </w:tr>
      <w:tr>
        <w:tc>
          <w:tcPr>
            <w:tcW w:type="dxa" w:w="2376"/>
            <w:vAlign w:val="center"/>
          </w:tcPr>
          <w:p>
            <w:pPr>
              <w:spacing w:after="0" w:before="0"/>
            </w:pPr>
            <w:r/>
            <w:r>
              <w:rPr>
                <w:rFonts w:ascii="Calibri" w:hAnsi="Calibri"/>
                <w:b/>
                <w:i w:val="0"/>
                <w:color w:val="5A2A4D"/>
                <w:sz w:val="18"/>
              </w:rPr>
              <w:t>Track-and-trace system Product Category</w:t>
            </w:r>
          </w:p>
        </w:tc>
        <w:tc>
          <w:tcPr>
            <w:tcW w:type="dxa" w:w="6984"/>
            <w:vAlign w:val="center"/>
          </w:tcPr>
          <w:p>
            <w:pPr>
              <w:spacing w:after="0" w:before="0"/>
            </w:pPr>
            <w:r/>
            <w:r>
              <w:rPr>
                <w:rFonts w:ascii="Calibri" w:hAnsi="Calibri"/>
                <w:b w:val="0"/>
                <w:i w:val="0"/>
                <w:color w:val="2B2B2B"/>
                <w:sz w:val="18"/>
              </w:rPr>
              <w:t>The category groupings track-and-trace system uses for finished product — e.g., Buds, Vape Cart, Infused Edible, Concentrate.</w:t>
            </w:r>
          </w:p>
        </w:tc>
      </w:tr>
      <w:tr>
        <w:tc>
          <w:tcPr>
            <w:tcW w:type="dxa" w:w="2376"/>
            <w:vAlign w:val="center"/>
          </w:tcPr>
          <w:p>
            <w:pPr>
              <w:spacing w:after="0" w:before="0"/>
            </w:pPr>
            <w:r/>
            <w:r>
              <w:rPr>
                <w:rFonts w:ascii="Calibri" w:hAnsi="Calibri"/>
                <w:b/>
                <w:i w:val="0"/>
                <w:color w:val="5A2A4D"/>
                <w:sz w:val="18"/>
              </w:rPr>
              <w:t>Discrepancy</w:t>
            </w:r>
          </w:p>
        </w:tc>
        <w:tc>
          <w:tcPr>
            <w:tcW w:type="dxa" w:w="6984"/>
            <w:vAlign w:val="center"/>
          </w:tcPr>
          <w:p>
            <w:pPr>
              <w:spacing w:after="0" w:before="0"/>
            </w:pPr>
            <w:r/>
            <w:r>
              <w:rPr>
                <w:rFonts w:ascii="Calibri" w:hAnsi="Calibri"/>
                <w:b w:val="0"/>
                <w:i w:val="0"/>
                <w:color w:val="2B2B2B"/>
                <w:sz w:val="18"/>
              </w:rPr>
              <w:t>A difference between the physical count and the stock recorded in track-and-trace system for a product category.</w:t>
            </w:r>
          </w:p>
        </w:tc>
      </w:tr>
      <w:tr>
        <w:tc>
          <w:tcPr>
            <w:tcW w:type="dxa" w:w="2376"/>
            <w:vAlign w:val="center"/>
          </w:tcPr>
          <w:p>
            <w:pPr>
              <w:spacing w:after="0" w:before="0"/>
            </w:pPr>
            <w:r/>
            <w:r>
              <w:rPr>
                <w:rFonts w:ascii="Calibri" w:hAnsi="Calibri"/>
                <w:b/>
                <w:i w:val="0"/>
                <w:color w:val="5A2A4D"/>
                <w:sz w:val="18"/>
              </w:rPr>
              <w:t>0.5% Threshold</w:t>
            </w:r>
          </w:p>
        </w:tc>
        <w:tc>
          <w:tcPr>
            <w:tcW w:type="dxa" w:w="6984"/>
            <w:vAlign w:val="center"/>
          </w:tcPr>
          <w:p>
            <w:pPr>
              <w:spacing w:after="0" w:before="0"/>
            </w:pPr>
            <w:r/>
            <w:r>
              <w:rPr>
                <w:rFonts w:ascii="Calibri" w:hAnsi="Calibri"/>
                <w:b w:val="0"/>
                <w:i w:val="0"/>
                <w:color w:val="2B2B2B"/>
                <w:sz w:val="18"/>
              </w:rPr>
              <w:t>The regulatory threshold, per category, that determines whether a discrepancy must be formally investigated and reported.</w:t>
            </w:r>
          </w:p>
        </w:tc>
      </w:tr>
      <w:tr>
        <w:tc>
          <w:tcPr>
            <w:tcW w:type="dxa" w:w="2376"/>
            <w:vAlign w:val="center"/>
          </w:tcPr>
          <w:p>
            <w:pPr>
              <w:spacing w:after="0" w:before="0"/>
            </w:pPr>
            <w:r/>
            <w:r>
              <w:rPr>
                <w:rFonts w:ascii="Calibri" w:hAnsi="Calibri"/>
                <w:b/>
                <w:i w:val="0"/>
                <w:color w:val="5A2A4D"/>
                <w:sz w:val="18"/>
              </w:rPr>
              <w:t>Package Adjustment</w:t>
            </w:r>
          </w:p>
        </w:tc>
        <w:tc>
          <w:tcPr>
            <w:tcW w:type="dxa" w:w="6984"/>
            <w:vAlign w:val="center"/>
          </w:tcPr>
          <w:p>
            <w:pPr>
              <w:spacing w:after="0" w:before="0"/>
            </w:pPr>
            <w:r/>
            <w:r>
              <w:rPr>
                <w:rFonts w:ascii="Calibri" w:hAnsi="Calibri"/>
                <w:b w:val="0"/>
                <w:i w:val="0"/>
                <w:color w:val="2B2B2B"/>
                <w:sz w:val="18"/>
              </w:rPr>
              <w:t>A correction recorded in track-and-trace system to explain and document a resolved discrepancy.</w:t>
            </w:r>
          </w:p>
        </w:tc>
      </w:tr>
      <w:tr>
        <w:tc>
          <w:tcPr>
            <w:tcW w:type="dxa" w:w="2376"/>
            <w:vAlign w:val="center"/>
          </w:tcPr>
          <w:p>
            <w:pPr>
              <w:spacing w:after="0" w:before="0"/>
            </w:pPr>
            <w:r/>
            <w:r>
              <w:rPr>
                <w:rFonts w:ascii="Calibri" w:hAnsi="Calibri"/>
                <w:b/>
                <w:i w:val="0"/>
                <w:color w:val="5A2A4D"/>
                <w:sz w:val="18"/>
              </w:rPr>
              <w:t>Rolling / Cycle Count</w:t>
            </w:r>
          </w:p>
        </w:tc>
        <w:tc>
          <w:tcPr>
            <w:tcW w:type="dxa" w:w="6984"/>
            <w:vAlign w:val="center"/>
          </w:tcPr>
          <w:p>
            <w:pPr>
              <w:spacing w:after="0" w:before="0"/>
            </w:pPr>
            <w:r/>
            <w:r>
              <w:rPr>
                <w:rFonts w:ascii="Calibri" w:hAnsi="Calibri"/>
                <w:b w:val="0"/>
                <w:i w:val="0"/>
                <w:color w:val="2B2B2B"/>
                <w:sz w:val="18"/>
              </w:rPr>
              <w:t>A partial count of selected categories performed between monthly full counts to detect discrepancies early.</w:t>
            </w:r>
          </w:p>
        </w:tc>
      </w:tr>
    </w:tbl>
    <w:p>
      <w:pPr>
        <w:spacing w:before="240" w:after="100"/>
        <w:pBdr>
          <w:bottom w:val="single" w:sz="10" w:space="3" w:color="D8C7D1"/>
        </w:pBdr>
      </w:pPr>
      <w:r>
        <w:rPr>
          <w:rFonts w:ascii="Calibri" w:hAnsi="Calibri"/>
          <w:b/>
          <w:color w:val="5A2A4D"/>
          <w:sz w:val="23"/>
          <w:spacing w:val="14"/>
        </w:rPr>
        <w:t>4. Roles &amp; Responsibilities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808"/>
            <w:shd w:val="clear" w:color="auto" w:fill="5A2A4D"/>
          </w:tcPr>
          <w:p>
            <w:pPr>
              <w:spacing w:after="0" w:before="0"/>
            </w:pPr>
            <w:r/>
            <w:r>
              <w:rPr>
                <w:rFonts w:ascii="Calibri" w:hAnsi="Calibri"/>
                <w:b/>
                <w:i w:val="0"/>
                <w:color w:val="FFFFFF"/>
                <w:sz w:val="17"/>
              </w:rPr>
              <w:t>Role</w:t>
            </w:r>
          </w:p>
        </w:tc>
        <w:tc>
          <w:tcPr>
            <w:tcW w:type="dxa" w:w="6552"/>
            <w:shd w:val="clear" w:color="auto" w:fill="5A2A4D"/>
          </w:tcPr>
          <w:p>
            <w:pPr>
              <w:spacing w:after="0" w:before="0"/>
            </w:pPr>
            <w:r/>
            <w:r>
              <w:rPr>
                <w:rFonts w:ascii="Calibri" w:hAnsi="Calibri"/>
                <w:b/>
                <w:i w:val="0"/>
                <w:color w:val="FFFFFF"/>
                <w:sz w:val="17"/>
              </w:rPr>
              <w:t>Responsibility</w:t>
            </w:r>
          </w:p>
        </w:tc>
      </w:tr>
      <w:tr>
        <w:tc>
          <w:tcPr>
            <w:tcW w:type="dxa" w:w="2808"/>
            <w:vAlign w:val="center"/>
          </w:tcPr>
          <w:p>
            <w:pPr>
              <w:spacing w:after="0" w:before="0"/>
            </w:pPr>
            <w:r/>
            <w:r>
              <w:rPr>
                <w:rFonts w:ascii="Calibri" w:hAnsi="Calibri"/>
                <w:b/>
                <w:i w:val="0"/>
                <w:color w:val="5A2A4D"/>
                <w:sz w:val="18"/>
              </w:rPr>
              <w:t>Inventory Lead / Manager</w:t>
            </w:r>
          </w:p>
        </w:tc>
        <w:tc>
          <w:tcPr>
            <w:tcW w:type="dxa" w:w="6552"/>
            <w:vAlign w:val="center"/>
          </w:tcPr>
          <w:p>
            <w:pPr>
              <w:spacing w:after="0" w:before="0"/>
            </w:pPr>
            <w:r/>
            <w:r>
              <w:rPr>
                <w:rFonts w:ascii="Calibri" w:hAnsi="Calibri"/>
                <w:b w:val="0"/>
                <w:i w:val="0"/>
                <w:color w:val="2B2B2B"/>
                <w:sz w:val="18"/>
              </w:rPr>
              <w:t>Schedules and leads counts; owns track-and-trace accuracy; initiates discrepancy investigations and prepares any state cannabis regulator report.</w:t>
            </w:r>
          </w:p>
        </w:tc>
      </w:tr>
      <w:tr>
        <w:tc>
          <w:tcPr>
            <w:tcW w:type="dxa" w:w="2808"/>
            <w:vAlign w:val="center"/>
          </w:tcPr>
          <w:p>
            <w:pPr>
              <w:spacing w:after="0" w:before="0"/>
            </w:pPr>
            <w:r/>
            <w:r>
              <w:rPr>
                <w:rFonts w:ascii="Calibri" w:hAnsi="Calibri"/>
                <w:b/>
                <w:i w:val="0"/>
                <w:color w:val="5A2A4D"/>
                <w:sz w:val="18"/>
              </w:rPr>
              <w:t>Counting Team (two or more agents)</w:t>
            </w:r>
          </w:p>
        </w:tc>
        <w:tc>
          <w:tcPr>
            <w:tcW w:type="dxa" w:w="6552"/>
            <w:vAlign w:val="center"/>
          </w:tcPr>
          <w:p>
            <w:pPr>
              <w:spacing w:after="0" w:before="0"/>
            </w:pPr>
            <w:r/>
            <w:r>
              <w:rPr>
                <w:rFonts w:ascii="Calibri" w:hAnsi="Calibri"/>
                <w:b w:val="0"/>
                <w:i w:val="0"/>
                <w:color w:val="2B2B2B"/>
                <w:sz w:val="18"/>
              </w:rPr>
              <w:t>Performs counts using dual control — one counts, a second independently verifies; both sign the count sheet.</w:t>
            </w:r>
          </w:p>
        </w:tc>
      </w:tr>
      <w:tr>
        <w:tc>
          <w:tcPr>
            <w:tcW w:type="dxa" w:w="2808"/>
            <w:vAlign w:val="center"/>
          </w:tcPr>
          <w:p>
            <w:pPr>
              <w:spacing w:after="0" w:before="0"/>
            </w:pPr>
            <w:r/>
            <w:r>
              <w:rPr>
                <w:rFonts w:ascii="Calibri" w:hAnsi="Calibri"/>
                <w:b/>
                <w:i w:val="0"/>
                <w:color w:val="5A2A4D"/>
                <w:sz w:val="18"/>
              </w:rPr>
              <w:t>Accounting (the outsourced accounting provider / in-house lead)</w:t>
            </w:r>
          </w:p>
        </w:tc>
        <w:tc>
          <w:tcPr>
            <w:tcW w:type="dxa" w:w="6552"/>
            <w:vAlign w:val="center"/>
          </w:tcPr>
          <w:p>
            <w:pPr>
              <w:spacing w:after="0" w:before="0"/>
            </w:pPr>
            <w:r/>
            <w:r>
              <w:rPr>
                <w:rFonts w:ascii="Calibri" w:hAnsi="Calibri"/>
                <w:b w:val="0"/>
                <w:i w:val="0"/>
                <w:color w:val="2B2B2B"/>
                <w:sz w:val="18"/>
              </w:rPr>
              <w:t>Reconciles count results to track-and-trace system and POS system; books inventory and cost-of-goods entries; maintains inventory valuation.</w:t>
            </w:r>
          </w:p>
        </w:tc>
      </w:tr>
      <w:tr>
        <w:tc>
          <w:tcPr>
            <w:tcW w:type="dxa" w:w="2808"/>
            <w:vAlign w:val="center"/>
          </w:tcPr>
          <w:p>
            <w:pPr>
              <w:spacing w:after="0" w:before="0"/>
            </w:pPr>
            <w:r/>
            <w:r>
              <w:rPr>
                <w:rFonts w:ascii="Calibri" w:hAnsi="Calibri"/>
                <w:b/>
                <w:i w:val="0"/>
                <w:color w:val="5A2A4D"/>
                <w:sz w:val="18"/>
              </w:rPr>
              <w:t>Controller</w:t>
            </w:r>
          </w:p>
        </w:tc>
        <w:tc>
          <w:tcPr>
            <w:tcW w:type="dxa" w:w="6552"/>
            <w:vAlign w:val="center"/>
          </w:tcPr>
          <w:p>
            <w:pPr>
              <w:spacing w:after="0" w:before="0"/>
            </w:pPr>
            <w:r/>
            <w:r>
              <w:rPr>
                <w:rFonts w:ascii="Calibri" w:hAnsi="Calibri"/>
                <w:b w:val="0"/>
                <w:i w:val="0"/>
                <w:color w:val="2B2B2B"/>
                <w:sz w:val="18"/>
              </w:rPr>
              <w:t>Oversight — reviews count results, discrepancy investigations, and the count-to-COGS hand-off; performs independent review.</w:t>
            </w:r>
          </w:p>
        </w:tc>
      </w:tr>
      <w:tr>
        <w:tc>
          <w:tcPr>
            <w:tcW w:type="dxa" w:w="2808"/>
            <w:vAlign w:val="center"/>
          </w:tcPr>
          <w:p>
            <w:pPr>
              <w:spacing w:after="0" w:before="0"/>
            </w:pPr>
            <w:r/>
            <w:r>
              <w:rPr>
                <w:rFonts w:ascii="Calibri" w:hAnsi="Calibri"/>
                <w:b/>
                <w:i w:val="0"/>
                <w:color w:val="5A2A4D"/>
                <w:sz w:val="18"/>
              </w:rPr>
              <w:t>Owner</w:t>
            </w:r>
          </w:p>
        </w:tc>
        <w:tc>
          <w:tcPr>
            <w:tcW w:type="dxa" w:w="6552"/>
            <w:vAlign w:val="center"/>
          </w:tcPr>
          <w:p>
            <w:pPr>
              <w:spacing w:after="0" w:before="0"/>
            </w:pPr>
            <w:r/>
            <w:r>
              <w:rPr>
                <w:rFonts w:ascii="Calibri" w:hAnsi="Calibri"/>
                <w:b w:val="0"/>
                <w:i w:val="0"/>
                <w:color w:val="2B2B2B"/>
                <w:sz w:val="18"/>
              </w:rPr>
              <w:t>Notified of discrepancies above threshold and of any suspected theft or diversion; approves inventory write-offs.</w:t>
            </w:r>
          </w:p>
        </w:tc>
      </w:tr>
    </w:tbl>
    <w:p>
      <w:pPr>
        <w:spacing w:before="240" w:after="100"/>
        <w:pBdr>
          <w:bottom w:val="single" w:sz="10" w:space="3" w:color="D8C7D1"/>
        </w:pBdr>
      </w:pPr>
      <w:r>
        <w:rPr>
          <w:rFonts w:ascii="Calibri" w:hAnsi="Calibri"/>
          <w:b/>
          <w:color w:val="5A2A4D"/>
          <w:sz w:val="23"/>
          <w:spacing w:val="14"/>
        </w:rPr>
        <w:t>5. Procedure</w:t>
      </w:r>
    </w:p>
    <w:p>
      <w:pPr>
        <w:spacing w:before="140" w:after="60"/>
      </w:pPr>
      <w:r>
        <w:rPr>
          <w:rFonts w:ascii="Calibri" w:hAnsi="Calibri"/>
          <w:b/>
          <w:color w:val="5A2A4D"/>
          <w:sz w:val="20"/>
        </w:rPr>
        <w:t>A. Monthly Full Physical Count — Regulatory Minimum</w:t>
      </w:r>
    </w:p>
    <w:p>
      <w:pPr>
        <w:pStyle w:val="ListNumber"/>
        <w:numPr>
          <w:ilvl w:val="0"/>
          <w:numId w:val="14"/>
        </w:numPr>
        <w:spacing w:after="80"/>
      </w:pPr>
      <w:r>
        <w:rPr>
          <w:rFonts w:ascii="Calibri" w:hAnsi="Calibri"/>
          <w:b w:val="0"/>
          <w:color w:val="2B2B2B"/>
          <w:sz w:val="19"/>
        </w:rPr>
        <w:t>At least once each month, Company conducts a full physical inventory of all cannabis stock and compares it to the stock reflected in the seed-to-sale tracking system. The count is scheduled on a consistent date, such as the last business day of the month.</w:t>
      </w:r>
    </w:p>
    <w:p>
      <w:pPr>
        <w:pStyle w:val="ListNumber"/>
        <w:numPr>
          <w:ilvl w:val="0"/>
          <w:numId w:val="14"/>
        </w:numPr>
        <w:spacing w:after="80"/>
      </w:pPr>
      <w:r>
        <w:rPr>
          <w:rFonts w:ascii="Calibri" w:hAnsi="Calibri"/>
          <w:b w:val="0"/>
          <w:color w:val="2B2B2B"/>
          <w:sz w:val="19"/>
        </w:rPr>
        <w:t>Because cannabis must remain in the secure room outside permitted hours, operations confirms whether a state-regulator-approved exemption is needed to access the secure room for the count and obtains that approval in advance.</w:t>
      </w:r>
    </w:p>
    <w:p>
      <w:pPr>
        <w:pStyle w:val="ListNumber"/>
        <w:numPr>
          <w:ilvl w:val="0"/>
          <w:numId w:val="14"/>
        </w:numPr>
        <w:spacing w:after="80"/>
      </w:pPr>
      <w:r>
        <w:rPr>
          <w:rFonts w:ascii="Calibri" w:hAnsi="Calibri"/>
          <w:b w:val="0"/>
          <w:color w:val="2B2B2B"/>
          <w:sz w:val="19"/>
        </w:rPr>
        <w:t>Inventory is counted by track-and-trace product category — Buds; Concentrate; Infused Edible; Infused Edible (Capsule); Infused Liquid Edible; Infused Non-Edible; Tincture; Vape Cart; and the medical-only Exempt categories.</w:t>
      </w:r>
    </w:p>
    <w:p>
      <w:pPr>
        <w:pStyle w:val="ListNumber"/>
        <w:numPr>
          <w:ilvl w:val="0"/>
          <w:numId w:val="14"/>
        </w:numPr>
        <w:spacing w:after="80"/>
      </w:pPr>
      <w:r>
        <w:rPr>
          <w:rFonts w:ascii="Calibri" w:hAnsi="Calibri"/>
          <w:b w:val="0"/>
          <w:color w:val="2B2B2B"/>
          <w:sz w:val="19"/>
        </w:rPr>
        <w:t>Dual count: one team member counts and a second independently verifies; both sign the Physical Count Sheet. Counts are performed within video surveillance coverage.</w:t>
      </w:r>
    </w:p>
    <w:p>
      <w:pPr>
        <w:pStyle w:val="ListNumber"/>
        <w:numPr>
          <w:ilvl w:val="0"/>
          <w:numId w:val="14"/>
        </w:numPr>
        <w:spacing w:after="80"/>
      </w:pPr>
      <w:r>
        <w:rPr>
          <w:rFonts w:ascii="Calibri" w:hAnsi="Calibri"/>
          <w:b w:val="0"/>
          <w:color w:val="2B2B2B"/>
          <w:sz w:val="19"/>
        </w:rPr>
        <w:t>The physical count is recorded and compared to track-and-trace manifested stock and to POS system on-hand quantities.</w:t>
      </w:r>
    </w:p>
    <w:p>
      <w:pPr>
        <w:spacing w:before="140" w:after="60"/>
      </w:pPr>
      <w:r>
        <w:rPr>
          <w:rFonts w:ascii="Calibri" w:hAnsi="Calibri"/>
          <w:b/>
          <w:color w:val="5A2A4D"/>
          <w:sz w:val="20"/>
        </w:rPr>
        <w:t>B. Rolling Cycle Counts — Recommended</w:t>
      </w:r>
    </w:p>
    <w:p>
      <w:pPr>
        <w:pStyle w:val="ListNumber"/>
        <w:numPr>
          <w:ilvl w:val="0"/>
          <w:numId w:val="14"/>
        </w:numPr>
        <w:spacing w:after="80"/>
      </w:pPr>
      <w:r>
        <w:rPr>
          <w:rFonts w:ascii="Calibri" w:hAnsi="Calibri"/>
          <w:b w:val="0"/>
          <w:color w:val="2B2B2B"/>
          <w:sz w:val="19"/>
        </w:rPr>
        <w:t>Between monthly counts, the team performs rolling counts of selected high-velocity or high-value categories to detect discrepancies early. Rolling counts are an internal control, not a regulatory requirement, and do not replace the monthly full count.</w:t>
      </w:r>
    </w:p>
    <w:p>
      <w:pPr>
        <w:spacing w:before="140" w:after="60"/>
      </w:pPr>
      <w:r>
        <w:rPr>
          <w:rFonts w:ascii="Calibri" w:hAnsi="Calibri"/>
          <w:b/>
          <w:color w:val="5A2A4D"/>
          <w:sz w:val="20"/>
        </w:rPr>
        <w:t>C. Discrepancy Evaluation &amp; Reporting</w:t>
      </w:r>
    </w:p>
    <w:p>
      <w:pPr>
        <w:pStyle w:val="ListNumber"/>
        <w:numPr>
          <w:ilvl w:val="0"/>
          <w:numId w:val="14"/>
        </w:numPr>
        <w:spacing w:after="80"/>
      </w:pPr>
      <w:r>
        <w:rPr>
          <w:rFonts w:ascii="Calibri" w:hAnsi="Calibri"/>
          <w:b w:val="0"/>
          <w:color w:val="2B2B2B"/>
          <w:sz w:val="19"/>
        </w:rPr>
        <w:t>For each product category, the discrepancy is calculated as a percentage of the manifested and documented stock for that category (discrepancy divided by category stock).</w:t>
      </w:r>
    </w:p>
    <w:p>
      <w:pPr>
        <w:pStyle w:val="ListNumber"/>
        <w:numPr>
          <w:ilvl w:val="0"/>
          <w:numId w:val="14"/>
        </w:numPr>
        <w:spacing w:after="80"/>
      </w:pPr>
      <w:r>
        <w:rPr>
          <w:rFonts w:ascii="Calibri" w:hAnsi="Calibri"/>
          <w:b w:val="0"/>
          <w:color w:val="2B2B2B"/>
          <w:sz w:val="19"/>
        </w:rPr>
        <w:t>If the discrepancy in a category is 0.5% or less: the business resolves it internally and uses track-and-trace system to record and explain the package adjustment. No report to state cannabis regulator is required.</w:t>
      </w:r>
    </w:p>
    <w:p>
      <w:pPr>
        <w:pStyle w:val="ListNumber"/>
        <w:numPr>
          <w:ilvl w:val="0"/>
          <w:numId w:val="14"/>
        </w:numPr>
        <w:spacing w:after="80"/>
      </w:pPr>
      <w:r>
        <w:rPr>
          <w:rFonts w:ascii="Calibri" w:hAnsi="Calibri"/>
          <w:b w:val="0"/>
          <w:color w:val="2B2B2B"/>
          <w:sz w:val="19"/>
        </w:rPr>
        <w:t>If the discrepancy in a category is greater than 0.5%: the Inventory Lead commences an internal investigation within one business day.</w:t>
      </w:r>
    </w:p>
    <w:p>
      <w:pPr>
        <w:pStyle w:val="ListNumber"/>
        <w:numPr>
          <w:ilvl w:val="0"/>
          <w:numId w:val="14"/>
        </w:numPr>
        <w:spacing w:after="80"/>
      </w:pPr>
      <w:r>
        <w:rPr>
          <w:rFonts w:ascii="Calibri" w:hAnsi="Calibri"/>
          <w:b w:val="0"/>
          <w:color w:val="2B2B2B"/>
          <w:sz w:val="19"/>
        </w:rPr>
        <w:t>If a greater-than-0.5% discrepancy is not resolved within 30 business days: Company submits an investigation report to state cannabis regulator. Failure to report within 30 days may be treated as evidence of diversion.</w:t>
      </w:r>
    </w:p>
    <w:p>
      <w:pPr>
        <w:pStyle w:val="ListNumber"/>
        <w:numPr>
          <w:ilvl w:val="0"/>
          <w:numId w:val="14"/>
        </w:numPr>
        <w:spacing w:after="80"/>
      </w:pPr>
      <w:r>
        <w:rPr>
          <w:rFonts w:ascii="Calibri" w:hAnsi="Calibri"/>
          <w:b w:val="0"/>
          <w:color w:val="2B2B2B"/>
          <w:sz w:val="19"/>
        </w:rPr>
        <w:t>If theft or diversion is identified at any point: secure the area, preserve the relevant video, notify Owner and Controller, and notify state cannabis regulator within one business day in accordance with current state regulator guidance.</w:t>
      </w:r>
    </w:p>
    <w:p>
      <w:pPr>
        <w:spacing w:before="140" w:after="60"/>
      </w:pPr>
      <w:r>
        <w:rPr>
          <w:rFonts w:ascii="Calibri" w:hAnsi="Calibri"/>
          <w:b/>
          <w:color w:val="5A2A4D"/>
          <w:sz w:val="20"/>
        </w:rPr>
        <w:t>D. System &amp; Financial Reconciliation</w:t>
      </w:r>
    </w:p>
    <w:p>
      <w:pPr>
        <w:pStyle w:val="ListNumber"/>
        <w:numPr>
          <w:ilvl w:val="0"/>
          <w:numId w:val="14"/>
        </w:numPr>
        <w:spacing w:after="80"/>
      </w:pPr>
      <w:r>
        <w:rPr>
          <w:rFonts w:ascii="Calibri" w:hAnsi="Calibri"/>
          <w:b w:val="0"/>
          <w:color w:val="2B2B2B"/>
          <w:sz w:val="19"/>
        </w:rPr>
        <w:t>Once a discrepancy is resolved, the Inventory Lead confirms that track-and-trace system, POS system, and the physical count agree.</w:t>
      </w:r>
    </w:p>
    <w:p>
      <w:pPr>
        <w:pStyle w:val="ListNumber"/>
        <w:numPr>
          <w:ilvl w:val="0"/>
          <w:numId w:val="14"/>
        </w:numPr>
        <w:spacing w:after="80"/>
      </w:pPr>
      <w:r>
        <w:rPr>
          <w:rFonts w:ascii="Calibri" w:hAnsi="Calibri"/>
          <w:b w:val="0"/>
          <w:color w:val="2B2B2B"/>
          <w:sz w:val="19"/>
        </w:rPr>
        <w:t>The signed monthly count is provided to Accounting, which updates inventory valuation in QuickBooks Online and prepares the monthly cost-of-goods and inventory roll-forward, coordinated with the outsourced bookkeeper and the engaged CPA.</w:t>
      </w:r>
    </w:p>
    <w:p>
      <w:pPr>
        <w:pStyle w:val="ListNumber"/>
        <w:numPr>
          <w:ilvl w:val="0"/>
          <w:numId w:val="14"/>
        </w:numPr>
        <w:spacing w:after="80"/>
      </w:pPr>
      <w:r>
        <w:rPr>
          <w:rFonts w:ascii="Calibri" w:hAnsi="Calibri"/>
          <w:b w:val="0"/>
          <w:color w:val="2B2B2B"/>
          <w:sz w:val="19"/>
        </w:rPr>
        <w:t>The monthly physical inventory record is filed to document management system (08_Inventory) and retained so it can be produced to state cannabis regulator on request or during an inspection.</w:t>
      </w:r>
    </w:p>
    <w:p>
      <w:pPr>
        <w:spacing w:after="80"/>
      </w:pPr>
      <w:r>
        <w:rPr>
          <w:rFonts w:ascii="Calibri" w:hAnsi="Calibri"/>
          <w:i/>
          <w:color w:val="707070"/>
          <w:sz w:val="17"/>
        </w:rPr>
        <w:t>The monthly count date, and the frequency and category selection for rolling counts, are operational decisions for the Company. The monthly full count itself is a regulatory minimum and is not optional.</w:t>
      </w:r>
    </w:p>
    <w:p>
      <w:pPr>
        <w:spacing w:before="240" w:after="100"/>
        <w:pBdr>
          <w:bottom w:val="single" w:sz="10" w:space="3" w:color="D8C7D1"/>
        </w:pBdr>
      </w:pPr>
      <w:r>
        <w:rPr>
          <w:rFonts w:ascii="Calibri" w:hAnsi="Calibri"/>
          <w:b/>
          <w:color w:val="5A2A4D"/>
          <w:sz w:val="23"/>
          <w:spacing w:val="14"/>
        </w:rPr>
        <w:t>6. Internal Controls</w:t>
      </w:r>
    </w:p>
    <w:p>
      <w:pPr>
        <w:pStyle w:val="ListBullet"/>
        <w:spacing w:after="80"/>
      </w:pPr>
      <w:r>
        <w:rPr>
          <w:rFonts w:ascii="Calibri" w:hAnsi="Calibri"/>
          <w:b w:val="0"/>
          <w:color w:val="2B2B2B"/>
          <w:sz w:val="19"/>
        </w:rPr>
        <w:t>The physical count is the system of record: track-and-trace system, POS system, and QuickBooks Online are each reconciled to the physical count, not to one another.</w:t>
      </w:r>
    </w:p>
    <w:p>
      <w:pPr>
        <w:pStyle w:val="ListBullet"/>
        <w:spacing w:after="80"/>
      </w:pPr>
      <w:r>
        <w:rPr>
          <w:rFonts w:ascii="Calibri" w:hAnsi="Calibri"/>
          <w:b w:val="0"/>
          <w:color w:val="2B2B2B"/>
          <w:sz w:val="19"/>
        </w:rPr>
        <w:t>Dual count — the team member who counts is independent of the member who verifies.</w:t>
      </w:r>
    </w:p>
    <w:p>
      <w:pPr>
        <w:pStyle w:val="ListBullet"/>
        <w:spacing w:after="80"/>
      </w:pPr>
      <w:r>
        <w:rPr>
          <w:rFonts w:ascii="Calibri" w:hAnsi="Calibri"/>
          <w:b w:val="0"/>
          <w:color w:val="2B2B2B"/>
          <w:sz w:val="19"/>
        </w:rPr>
        <w:t>Counts are performed within video surveillance coverage, leveraging the business’s required security infrastructure.</w:t>
      </w:r>
    </w:p>
    <w:p>
      <w:pPr>
        <w:pStyle w:val="ListBullet"/>
        <w:spacing w:after="80"/>
      </w:pPr>
      <w:r>
        <w:rPr>
          <w:rFonts w:ascii="Calibri" w:hAnsi="Calibri"/>
          <w:b w:val="0"/>
          <w:color w:val="2B2B2B"/>
          <w:sz w:val="19"/>
        </w:rPr>
        <w:t>The monthly full count is a non-negotiable minimum; rolling cycle counts are strongly recommended in addition.</w:t>
      </w:r>
    </w:p>
    <w:p>
      <w:pPr>
        <w:pStyle w:val="ListBullet"/>
        <w:spacing w:after="80"/>
      </w:pPr>
      <w:r>
        <w:rPr>
          <w:rFonts w:ascii="Calibri" w:hAnsi="Calibri"/>
          <w:b w:val="0"/>
          <w:color w:val="2B2B2B"/>
          <w:sz w:val="19"/>
        </w:rPr>
        <w:t>Investigation timing — one business day to open an investigation, 30 business days to report an unresolved discrepancy — is tracked on the compliance calendar.</w:t>
      </w:r>
    </w:p>
    <w:p>
      <w:pPr>
        <w:pStyle w:val="ListBullet"/>
        <w:spacing w:after="80"/>
      </w:pPr>
      <w:r>
        <w:rPr>
          <w:rFonts w:ascii="Calibri" w:hAnsi="Calibri"/>
          <w:b w:val="0"/>
          <w:color w:val="2B2B2B"/>
          <w:sz w:val="19"/>
        </w:rPr>
        <w:t>Incoming product is verified against both the transfer manifest and the vendor invoice before it is accepted into track-and-trace system and inventory.</w:t>
      </w:r>
    </w:p>
    <w:p>
      <w:pPr>
        <w:pStyle w:val="ListBullet"/>
        <w:spacing w:after="80"/>
      </w:pPr>
      <w:r>
        <w:rPr>
          <w:rFonts w:ascii="Calibri" w:hAnsi="Calibri"/>
          <w:b w:val="0"/>
          <w:color w:val="2B2B2B"/>
          <w:sz w:val="19"/>
        </w:rPr>
        <w:t>Bulk flower limits are observed: no more than 50 pounds of unpackaged bulk cannabis on hand, and no more than 1 pound per incoming package.</w:t>
      </w:r>
    </w:p>
    <w:p>
      <w:pPr>
        <w:spacing w:before="240" w:after="100"/>
        <w:pBdr>
          <w:bottom w:val="single" w:sz="10" w:space="3" w:color="D8C7D1"/>
        </w:pBdr>
      </w:pPr>
      <w:r>
        <w:rPr>
          <w:rFonts w:ascii="Calibri" w:hAnsi="Calibri"/>
          <w:b/>
          <w:color w:val="5A2A4D"/>
          <w:sz w:val="23"/>
          <w:spacing w:val="14"/>
        </w:rPr>
        <w:t>7. Regulatory &amp; Compliance Basis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2088"/>
            <w:shd w:val="clear" w:color="auto" w:fill="5A2A4D"/>
          </w:tcPr>
          <w:p>
            <w:pPr>
              <w:spacing w:after="0" w:before="0"/>
            </w:pPr>
            <w:r/>
            <w:r>
              <w:rPr>
                <w:rFonts w:ascii="Calibri" w:hAnsi="Calibri"/>
                <w:b/>
                <w:i w:val="0"/>
                <w:color w:val="FFFFFF"/>
                <w:sz w:val="16"/>
              </w:rPr>
              <w:t>Reference</w:t>
            </w:r>
          </w:p>
        </w:tc>
        <w:tc>
          <w:tcPr>
            <w:tcW w:type="dxa" w:w="6264"/>
            <w:shd w:val="clear" w:color="auto" w:fill="5A2A4D"/>
          </w:tcPr>
          <w:p>
            <w:pPr>
              <w:spacing w:after="0" w:before="0"/>
            </w:pPr>
            <w:r/>
            <w:r>
              <w:rPr>
                <w:rFonts w:ascii="Calibri" w:hAnsi="Calibri"/>
                <w:b/>
                <w:i w:val="0"/>
                <w:color w:val="FFFFFF"/>
                <w:sz w:val="16"/>
              </w:rPr>
              <w:t>Requirement / Basis</w:t>
            </w:r>
          </w:p>
        </w:tc>
        <w:tc>
          <w:tcPr>
            <w:tcW w:type="dxa" w:w="1008"/>
            <w:shd w:val="clear" w:color="auto" w:fill="5A2A4D"/>
          </w:tcPr>
          <w:p>
            <w:pPr>
              <w:spacing w:after="0" w:before="0"/>
            </w:pPr>
            <w:r/>
            <w:r>
              <w:rPr>
                <w:rFonts w:ascii="Calibri" w:hAnsi="Calibri"/>
                <w:b/>
                <w:i w:val="0"/>
                <w:color w:val="FFFFFF"/>
                <w:sz w:val="16"/>
              </w:rPr>
              <w:t>Class</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At least monthly, a cannabis business must conduct a physical inventory of its cannabis stock and compare it to the seed-to-sale tracking system.</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A business must use the seed-to-sale tracking system to track all stock from receipt through dispensing.</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A category discrepancy greater than 0.5% of manifested and documented stock requires an internal investigation begun within one business day.</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An unresolved discrepancy above 0.5% must be reported to state cannabis regulator via an investigation report within 30 business days; failure to report may be evidence of diversion.</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A discrepancy of 0.5% or less is resolved internally and explained through a track-and-trace package adjustment; no state cannabis regulator report is required.</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Cannabis must be stored in the secure room outside business hours plus two hours; access for inventory review outside that window requires a prior state-regulator-approved exemption.</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Applicable state cannabis regulations</w:t>
            </w:r>
          </w:p>
        </w:tc>
        <w:tc>
          <w:tcPr>
            <w:tcW w:type="dxa" w:w="6264"/>
            <w:vAlign w:val="center"/>
          </w:tcPr>
          <w:p>
            <w:pPr>
              <w:spacing w:after="0" w:before="0"/>
            </w:pPr>
            <w:r/>
            <w:r>
              <w:rPr>
                <w:rFonts w:ascii="Calibri" w:hAnsi="Calibri"/>
                <w:b w:val="0"/>
                <w:i w:val="0"/>
                <w:color w:val="2B2B2B"/>
                <w:sz w:val="17"/>
              </w:rPr>
              <w:t>Monthly physical inventory records must be maintained and made available to state cannabis regulator on request, including during an inspection.</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State regulator guidance — theft / diversion</w:t>
            </w:r>
          </w:p>
        </w:tc>
        <w:tc>
          <w:tcPr>
            <w:tcW w:type="dxa" w:w="6264"/>
            <w:vAlign w:val="center"/>
          </w:tcPr>
          <w:p>
            <w:pPr>
              <w:spacing w:after="0" w:before="0"/>
            </w:pPr>
            <w:r/>
            <w:r>
              <w:rPr>
                <w:rFonts w:ascii="Calibri" w:hAnsi="Calibri"/>
                <w:b w:val="0"/>
                <w:i w:val="0"/>
                <w:color w:val="2B2B2B"/>
                <w:sz w:val="17"/>
              </w:rPr>
              <w:t>Evidence of theft or diversion must be reported to state cannabis regulator within one business day.</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State regulator guidance — bulk flower limits</w:t>
            </w:r>
          </w:p>
        </w:tc>
        <w:tc>
          <w:tcPr>
            <w:tcW w:type="dxa" w:w="6264"/>
            <w:vAlign w:val="center"/>
          </w:tcPr>
          <w:p>
            <w:pPr>
              <w:spacing w:after="0" w:before="0"/>
            </w:pPr>
            <w:r/>
            <w:r>
              <w:rPr>
                <w:rFonts w:ascii="Calibri" w:hAnsi="Calibri"/>
                <w:b w:val="0"/>
                <w:i w:val="0"/>
                <w:color w:val="2B2B2B"/>
                <w:sz w:val="17"/>
              </w:rPr>
              <w:t>No more than 50 pounds of unpackaged bulk cannabis on hand; no more than 1 pound per incoming package.</w:t>
            </w:r>
          </w:p>
        </w:tc>
        <w:tc>
          <w:tcPr>
            <w:tcW w:type="dxa" w:w="1008"/>
            <w:vAlign w:val="center"/>
          </w:tcPr>
          <w:p>
            <w:pPr>
              <w:spacing w:after="0" w:before="0"/>
            </w:pPr>
            <w:r/>
            <w:r>
              <w:rPr>
                <w:rFonts w:ascii="Calibri" w:hAnsi="Calibri"/>
                <w:b w:val="0"/>
                <w:i w:val="0"/>
                <w:color w:val="2B2B2B"/>
                <w:sz w:val="17"/>
              </w:rPr>
              <w:t>R</w:t>
            </w:r>
          </w:p>
        </w:tc>
      </w:tr>
      <w:tr>
        <w:tc>
          <w:tcPr>
            <w:tcW w:type="dxa" w:w="2088"/>
            <w:vAlign w:val="center"/>
          </w:tcPr>
          <w:p>
            <w:pPr>
              <w:spacing w:after="0" w:before="0"/>
            </w:pPr>
            <w:r/>
            <w:r>
              <w:rPr>
                <w:rFonts w:ascii="Calibri" w:hAnsi="Calibri"/>
                <w:b/>
                <w:i w:val="0"/>
                <w:color w:val="5A2A4D"/>
                <w:sz w:val="17"/>
              </w:rPr>
              <w:t>Physical count as system of record; dual count</w:t>
            </w:r>
          </w:p>
        </w:tc>
        <w:tc>
          <w:tcPr>
            <w:tcW w:type="dxa" w:w="6264"/>
            <w:vAlign w:val="center"/>
          </w:tcPr>
          <w:p>
            <w:pPr>
              <w:spacing w:after="0" w:before="0"/>
            </w:pPr>
            <w:r/>
            <w:r>
              <w:rPr>
                <w:rFonts w:ascii="Calibri" w:hAnsi="Calibri"/>
                <w:b w:val="0"/>
                <w:i w:val="0"/>
                <w:color w:val="2B2B2B"/>
                <w:sz w:val="17"/>
              </w:rPr>
              <w:t>Systems are reconciled to the physical count; counter and verifier are independent.</w:t>
            </w:r>
          </w:p>
        </w:tc>
        <w:tc>
          <w:tcPr>
            <w:tcW w:type="dxa" w:w="1008"/>
            <w:vAlign w:val="center"/>
          </w:tcPr>
          <w:p>
            <w:pPr>
              <w:spacing w:after="0" w:before="0"/>
            </w:pPr>
            <w:r/>
            <w:r>
              <w:rPr>
                <w:rFonts w:ascii="Calibri" w:hAnsi="Calibri"/>
                <w:b w:val="0"/>
                <w:i w:val="0"/>
                <w:color w:val="2B2B2B"/>
                <w:sz w:val="17"/>
              </w:rPr>
              <w:t>IC</w:t>
            </w:r>
          </w:p>
        </w:tc>
      </w:tr>
      <w:tr>
        <w:tc>
          <w:tcPr>
            <w:tcW w:type="dxa" w:w="2088"/>
            <w:vAlign w:val="center"/>
          </w:tcPr>
          <w:p>
            <w:pPr>
              <w:spacing w:after="0" w:before="0"/>
            </w:pPr>
            <w:r/>
            <w:r>
              <w:rPr>
                <w:rFonts w:ascii="Calibri" w:hAnsi="Calibri"/>
                <w:b/>
                <w:i w:val="0"/>
                <w:color w:val="5A2A4D"/>
                <w:sz w:val="17"/>
              </w:rPr>
              <w:t>Rolling cycle counts</w:t>
            </w:r>
          </w:p>
        </w:tc>
        <w:tc>
          <w:tcPr>
            <w:tcW w:type="dxa" w:w="6264"/>
            <w:vAlign w:val="center"/>
          </w:tcPr>
          <w:p>
            <w:pPr>
              <w:spacing w:after="0" w:before="0"/>
            </w:pPr>
            <w:r/>
            <w:r>
              <w:rPr>
                <w:rFonts w:ascii="Calibri" w:hAnsi="Calibri"/>
                <w:b w:val="0"/>
                <w:i w:val="0"/>
                <w:color w:val="2B2B2B"/>
                <w:sz w:val="17"/>
              </w:rPr>
              <w:t>Partial counts between monthly counts to detect discrepancies early.</w:t>
            </w:r>
          </w:p>
        </w:tc>
        <w:tc>
          <w:tcPr>
            <w:tcW w:type="dxa" w:w="1008"/>
            <w:vAlign w:val="center"/>
          </w:tcPr>
          <w:p>
            <w:pPr>
              <w:spacing w:after="0" w:before="0"/>
            </w:pPr>
            <w:r/>
            <w:r>
              <w:rPr>
                <w:rFonts w:ascii="Calibri" w:hAnsi="Calibri"/>
                <w:b w:val="0"/>
                <w:i w:val="0"/>
                <w:color w:val="2B2B2B"/>
                <w:sz w:val="17"/>
              </w:rPr>
              <w:t>BP</w:t>
            </w:r>
          </w:p>
        </w:tc>
      </w:tr>
      <w:tr>
        <w:tc>
          <w:tcPr>
            <w:tcW w:type="dxa" w:w="2088"/>
            <w:vAlign w:val="center"/>
          </w:tcPr>
          <w:p>
            <w:pPr>
              <w:spacing w:after="0" w:before="0"/>
            </w:pPr>
            <w:r/>
            <w:r>
              <w:rPr>
                <w:rFonts w:ascii="Calibri" w:hAnsi="Calibri"/>
                <w:b/>
                <w:i w:val="0"/>
                <w:color w:val="5A2A4D"/>
                <w:sz w:val="17"/>
              </w:rPr>
              <w:t>Count date and cycle-count cadence</w:t>
            </w:r>
          </w:p>
        </w:tc>
        <w:tc>
          <w:tcPr>
            <w:tcW w:type="dxa" w:w="6264"/>
            <w:vAlign w:val="center"/>
          </w:tcPr>
          <w:p>
            <w:pPr>
              <w:spacing w:after="0" w:before="0"/>
            </w:pPr>
            <w:r/>
            <w:r>
              <w:rPr>
                <w:rFonts w:ascii="Calibri" w:hAnsi="Calibri"/>
                <w:b w:val="0"/>
                <w:i w:val="0"/>
                <w:color w:val="2B2B2B"/>
                <w:sz w:val="17"/>
              </w:rPr>
              <w:t>Scheduling decisions for Company management.</w:t>
            </w:r>
          </w:p>
        </w:tc>
        <w:tc>
          <w:tcPr>
            <w:tcW w:type="dxa" w:w="1008"/>
            <w:vAlign w:val="center"/>
          </w:tcPr>
          <w:p>
            <w:pPr>
              <w:spacing w:after="0" w:before="0"/>
            </w:pPr>
            <w:r/>
            <w:r>
              <w:rPr>
                <w:rFonts w:ascii="Calibri" w:hAnsi="Calibri"/>
                <w:b w:val="0"/>
                <w:i w:val="0"/>
                <w:color w:val="2B2B2B"/>
                <w:sz w:val="17"/>
              </w:rPr>
              <w:t>OP</w:t>
            </w:r>
          </w:p>
        </w:tc>
      </w:tr>
    </w:tbl>
    <w:p>
      <w:pPr>
        <w:spacing w:after="80"/>
      </w:pPr>
      <w:r>
        <w:rPr>
          <w:rFonts w:ascii="Calibri" w:hAnsi="Calibri"/>
          <w:i/>
          <w:color w:val="707070"/>
          <w:sz w:val="17"/>
        </w:rPr>
        <w:t>State cannabis regulator began enforcing the 0.5% discrepancy reporting threshold on June 1, 2025. The track-and-trace product categories and discrepancy mechanics in this SOP reflect current state regulator guidance and should be reconfirmed against applicable state cannabis regulations and state regulator guidance at finalization. Record-retention periods under applicable state cannabis regulations should be confirmed with cannabis counsel. 280E cost-capitalization treatment for inventory and cost of goods sold is a tax position for the engaged CPA and is outside this SOP.</w:t>
      </w:r>
    </w:p>
    <w:p>
      <w:pPr>
        <w:spacing w:before="240" w:after="100"/>
        <w:pBdr>
          <w:bottom w:val="single" w:sz="10" w:space="3" w:color="D8C7D1"/>
        </w:pBdr>
      </w:pPr>
      <w:r>
        <w:rPr>
          <w:rFonts w:ascii="Calibri" w:hAnsi="Calibri"/>
          <w:b/>
          <w:color w:val="5A2A4D"/>
          <w:sz w:val="23"/>
          <w:spacing w:val="14"/>
        </w:rPr>
        <w:t>8. Records &amp; Retention</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3384"/>
            <w:shd w:val="clear" w:color="auto" w:fill="5A2A4D"/>
          </w:tcPr>
          <w:p>
            <w:pPr>
              <w:spacing w:after="0" w:before="0"/>
            </w:pPr>
            <w:r/>
            <w:r>
              <w:rPr>
                <w:rFonts w:ascii="Calibri" w:hAnsi="Calibri"/>
                <w:b/>
                <w:i w:val="0"/>
                <w:color w:val="FFFFFF"/>
                <w:sz w:val="16"/>
              </w:rPr>
              <w:t>Record</w:t>
            </w:r>
          </w:p>
        </w:tc>
        <w:tc>
          <w:tcPr>
            <w:tcW w:type="dxa" w:w="3096"/>
            <w:shd w:val="clear" w:color="auto" w:fill="5A2A4D"/>
          </w:tcPr>
          <w:p>
            <w:pPr>
              <w:spacing w:after="0" w:before="0"/>
            </w:pPr>
            <w:r/>
            <w:r>
              <w:rPr>
                <w:rFonts w:ascii="Calibri" w:hAnsi="Calibri"/>
                <w:b/>
                <w:i w:val="0"/>
                <w:color w:val="FFFFFF"/>
                <w:sz w:val="16"/>
              </w:rPr>
              <w:t>Location (document management system)</w:t>
            </w:r>
          </w:p>
        </w:tc>
        <w:tc>
          <w:tcPr>
            <w:tcW w:type="dxa" w:w="2880"/>
            <w:shd w:val="clear" w:color="auto" w:fill="5A2A4D"/>
          </w:tcPr>
          <w:p>
            <w:pPr>
              <w:spacing w:after="0" w:before="0"/>
            </w:pPr>
            <w:r/>
            <w:r>
              <w:rPr>
                <w:rFonts w:ascii="Calibri" w:hAnsi="Calibri"/>
                <w:b/>
                <w:i w:val="0"/>
                <w:color w:val="FFFFFF"/>
                <w:sz w:val="16"/>
              </w:rPr>
              <w:t>Retention</w:t>
            </w:r>
          </w:p>
        </w:tc>
      </w:tr>
      <w:tr>
        <w:tc>
          <w:tcPr>
            <w:tcW w:type="dxa" w:w="3384"/>
            <w:vAlign w:val="center"/>
          </w:tcPr>
          <w:p>
            <w:pPr>
              <w:spacing w:after="0" w:before="0"/>
            </w:pPr>
            <w:r/>
            <w:r>
              <w:rPr>
                <w:rFonts w:ascii="Calibri" w:hAnsi="Calibri"/>
                <w:b/>
                <w:i w:val="0"/>
                <w:color w:val="5A2A4D"/>
                <w:sz w:val="17"/>
              </w:rPr>
              <w:t>Monthly Physical Count Sheets</w:t>
            </w:r>
          </w:p>
        </w:tc>
        <w:tc>
          <w:tcPr>
            <w:tcW w:type="dxa" w:w="3096"/>
            <w:vAlign w:val="center"/>
          </w:tcPr>
          <w:p>
            <w:pPr>
              <w:spacing w:after="0" w:before="0"/>
            </w:pPr>
            <w:r/>
            <w:r>
              <w:rPr>
                <w:rFonts w:ascii="Calibri" w:hAnsi="Calibri"/>
                <w:b w:val="0"/>
                <w:i w:val="0"/>
                <w:color w:val="2B2B2B"/>
                <w:sz w:val="17"/>
              </w:rPr>
              <w:t>08_Inventory / 01_Inventory Counts / 02_Monthly Full Counts</w:t>
            </w:r>
          </w:p>
        </w:tc>
        <w:tc>
          <w:tcPr>
            <w:tcW w:type="dxa" w:w="2880"/>
            <w:vAlign w:val="center"/>
          </w:tcPr>
          <w:p>
            <w:pPr>
              <w:spacing w:after="0" w:before="0"/>
            </w:pPr>
            <w:r/>
            <w:r>
              <w:rPr>
                <w:rFonts w:ascii="Calibri" w:hAnsi="Calibri"/>
                <w:b w:val="0"/>
                <w:i w:val="0"/>
                <w:color w:val="2B2B2B"/>
                <w:sz w:val="17"/>
              </w:rPr>
              <w:t>Available to state cannabis regulator on request; min. 7 years — confirm with counsel</w:t>
            </w:r>
          </w:p>
        </w:tc>
      </w:tr>
      <w:tr>
        <w:tc>
          <w:tcPr>
            <w:tcW w:type="dxa" w:w="3384"/>
            <w:vAlign w:val="center"/>
          </w:tcPr>
          <w:p>
            <w:pPr>
              <w:spacing w:after="0" w:before="0"/>
            </w:pPr>
            <w:r/>
            <w:r>
              <w:rPr>
                <w:rFonts w:ascii="Calibri" w:hAnsi="Calibri"/>
                <w:b/>
                <w:i w:val="0"/>
                <w:color w:val="5A2A4D"/>
                <w:sz w:val="17"/>
              </w:rPr>
              <w:t>Rolling Cycle Count Sheets</w:t>
            </w:r>
          </w:p>
        </w:tc>
        <w:tc>
          <w:tcPr>
            <w:tcW w:type="dxa" w:w="3096"/>
            <w:vAlign w:val="center"/>
          </w:tcPr>
          <w:p>
            <w:pPr>
              <w:spacing w:after="0" w:before="0"/>
            </w:pPr>
            <w:r/>
            <w:r>
              <w:rPr>
                <w:rFonts w:ascii="Calibri" w:hAnsi="Calibri"/>
                <w:b w:val="0"/>
                <w:i w:val="0"/>
                <w:color w:val="2B2B2B"/>
                <w:sz w:val="17"/>
              </w:rPr>
              <w:t>08_Inventory / 01_Inventory Counts / 01_Weekly Cycle Counts</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Discrepancy investigation files</w:t>
            </w:r>
          </w:p>
        </w:tc>
        <w:tc>
          <w:tcPr>
            <w:tcW w:type="dxa" w:w="3096"/>
            <w:vAlign w:val="center"/>
          </w:tcPr>
          <w:p>
            <w:pPr>
              <w:spacing w:after="0" w:before="0"/>
            </w:pPr>
            <w:r/>
            <w:r>
              <w:rPr>
                <w:rFonts w:ascii="Calibri" w:hAnsi="Calibri"/>
                <w:b w:val="0"/>
                <w:i w:val="0"/>
                <w:color w:val="2B2B2B"/>
                <w:sz w:val="17"/>
              </w:rPr>
              <w:t>08_Inventory / 01_Inventory Counts / 03_Variance Documentation</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Track-and-trace package-adjustment records</w:t>
            </w:r>
          </w:p>
        </w:tc>
        <w:tc>
          <w:tcPr>
            <w:tcW w:type="dxa" w:w="3096"/>
            <w:vAlign w:val="center"/>
          </w:tcPr>
          <w:p>
            <w:pPr>
              <w:spacing w:after="0" w:before="0"/>
            </w:pPr>
            <w:r/>
            <w:r>
              <w:rPr>
                <w:rFonts w:ascii="Calibri" w:hAnsi="Calibri"/>
                <w:b w:val="0"/>
                <w:i w:val="0"/>
                <w:color w:val="2B2B2B"/>
                <w:sz w:val="17"/>
              </w:rPr>
              <w:t>08_Inventory / 04_Track-and-Trace Reconciliation</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State cannabis regulator investigation reports submitted</w:t>
            </w:r>
          </w:p>
        </w:tc>
        <w:tc>
          <w:tcPr>
            <w:tcW w:type="dxa" w:w="3096"/>
            <w:vAlign w:val="center"/>
          </w:tcPr>
          <w:p>
            <w:pPr>
              <w:spacing w:after="0" w:before="0"/>
            </w:pPr>
            <w:r/>
            <w:r>
              <w:rPr>
                <w:rFonts w:ascii="Calibri" w:hAnsi="Calibri"/>
                <w:b w:val="0"/>
                <w:i w:val="0"/>
                <w:color w:val="2B2B2B"/>
                <w:sz w:val="17"/>
              </w:rPr>
              <w:t>13_Compliance &amp; Regulatory / 03_State Reporting Submissions</w:t>
            </w:r>
          </w:p>
        </w:tc>
        <w:tc>
          <w:tcPr>
            <w:tcW w:type="dxa" w:w="2880"/>
            <w:vAlign w:val="center"/>
          </w:tcPr>
          <w:p>
            <w:pPr>
              <w:spacing w:after="0" w:before="0"/>
            </w:pPr>
            <w:r/>
            <w:r>
              <w:rPr>
                <w:rFonts w:ascii="Calibri" w:hAnsi="Calibri"/>
                <w:b w:val="0"/>
                <w:i w:val="0"/>
                <w:color w:val="2B2B2B"/>
                <w:sz w:val="17"/>
              </w:rPr>
              <w:t>Min. 7 years; confirm with counsel</w:t>
            </w:r>
          </w:p>
        </w:tc>
      </w:tr>
      <w:tr>
        <w:tc>
          <w:tcPr>
            <w:tcW w:type="dxa" w:w="3384"/>
            <w:vAlign w:val="center"/>
          </w:tcPr>
          <w:p>
            <w:pPr>
              <w:spacing w:after="0" w:before="0"/>
            </w:pPr>
            <w:r/>
            <w:r>
              <w:rPr>
                <w:rFonts w:ascii="Calibri" w:hAnsi="Calibri"/>
                <w:b/>
                <w:i w:val="0"/>
                <w:color w:val="5A2A4D"/>
                <w:sz w:val="17"/>
              </w:rPr>
              <w:t>Inventory valuation &amp; COGS workpapers</w:t>
            </w:r>
          </w:p>
        </w:tc>
        <w:tc>
          <w:tcPr>
            <w:tcW w:type="dxa" w:w="3096"/>
            <w:vAlign w:val="center"/>
          </w:tcPr>
          <w:p>
            <w:pPr>
              <w:spacing w:after="0" w:before="0"/>
            </w:pPr>
            <w:r/>
            <w:r>
              <w:rPr>
                <w:rFonts w:ascii="Calibri" w:hAnsi="Calibri"/>
                <w:b w:val="0"/>
                <w:i w:val="0"/>
                <w:color w:val="2B2B2B"/>
                <w:sz w:val="17"/>
              </w:rPr>
              <w:t>08_Inventory / 02_COGS Workpapers</w:t>
            </w:r>
          </w:p>
        </w:tc>
        <w:tc>
          <w:tcPr>
            <w:tcW w:type="dxa" w:w="2880"/>
            <w:vAlign w:val="center"/>
          </w:tcPr>
          <w:p>
            <w:pPr>
              <w:spacing w:after="0" w:before="0"/>
            </w:pPr>
            <w:r/>
            <w:r>
              <w:rPr>
                <w:rFonts w:ascii="Calibri" w:hAnsi="Calibri"/>
                <w:b w:val="0"/>
                <w:i w:val="0"/>
                <w:color w:val="2B2B2B"/>
                <w:sz w:val="17"/>
              </w:rPr>
              <w:t>Min. 7 years; confirm with counsel</w:t>
            </w:r>
          </w:p>
        </w:tc>
      </w:tr>
    </w:tbl>
    <w:p>
      <w:pPr>
        <w:spacing w:before="240" w:after="100"/>
        <w:pBdr>
          <w:bottom w:val="single" w:sz="10" w:space="3" w:color="D8C7D1"/>
        </w:pBdr>
      </w:pPr>
      <w:r>
        <w:rPr>
          <w:rFonts w:ascii="Calibri" w:hAnsi="Calibri"/>
          <w:b/>
          <w:color w:val="5A2A4D"/>
          <w:sz w:val="23"/>
          <w:spacing w:val="14"/>
        </w:rPr>
        <w:t>9. Exceptions &amp; Escalation</w:t>
      </w:r>
    </w:p>
    <w:p>
      <w:pPr>
        <w:pStyle w:val="ListBullet"/>
        <w:spacing w:after="80"/>
      </w:pPr>
      <w:r>
        <w:rPr>
          <w:rFonts w:ascii="Calibri" w:hAnsi="Calibri"/>
          <w:b w:val="0"/>
          <w:color w:val="2B2B2B"/>
          <w:sz w:val="19"/>
        </w:rPr>
        <w:t>A category discrepancy greater than 0.5% triggers an internal investigation opened by the Inventory Lead within one business day, with Controller and Owner notified.</w:t>
      </w:r>
    </w:p>
    <w:p>
      <w:pPr>
        <w:pStyle w:val="ListBullet"/>
        <w:spacing w:after="80"/>
      </w:pPr>
      <w:r>
        <w:rPr>
          <w:rFonts w:ascii="Calibri" w:hAnsi="Calibri"/>
          <w:b w:val="0"/>
          <w:color w:val="2B2B2B"/>
          <w:sz w:val="19"/>
        </w:rPr>
        <w:t>An above-threshold discrepancy unresolved after 30 business days is reported to state cannabis regulator through an investigation report; the compliance calendar tracks the 30-day deadline.</w:t>
      </w:r>
    </w:p>
    <w:p>
      <w:pPr>
        <w:pStyle w:val="ListBullet"/>
        <w:spacing w:after="80"/>
      </w:pPr>
      <w:r>
        <w:rPr>
          <w:rFonts w:ascii="Calibri" w:hAnsi="Calibri"/>
          <w:b w:val="0"/>
          <w:color w:val="2B2B2B"/>
          <w:sz w:val="19"/>
        </w:rPr>
        <w:t>Suspected theft or diversion is escalated immediately to Owner and Controller, with notification to state cannabis regulator within one business day per current state regulator guidance — confirm the current procedure with cannabis counsel.</w:t>
      </w:r>
    </w:p>
    <w:p>
      <w:pPr>
        <w:pStyle w:val="ListBullet"/>
        <w:spacing w:after="80"/>
      </w:pPr>
      <w:r>
        <w:rPr>
          <w:rFonts w:ascii="Calibri" w:hAnsi="Calibri"/>
          <w:b w:val="0"/>
          <w:color w:val="2B2B2B"/>
          <w:sz w:val="19"/>
        </w:rPr>
        <w:t>A recurring pattern of discrepancies in the same category or location is escalated to Controller for a controls review.</w:t>
      </w:r>
    </w:p>
    <w:p>
      <w:pPr>
        <w:spacing w:before="240" w:after="100"/>
        <w:pBdr>
          <w:bottom w:val="single" w:sz="10" w:space="3" w:color="D8C7D1"/>
        </w:pBdr>
      </w:pPr>
      <w:r>
        <w:rPr>
          <w:rFonts w:ascii="Calibri" w:hAnsi="Calibri"/>
          <w:b/>
          <w:color w:val="5A2A4D"/>
          <w:sz w:val="23"/>
          <w:spacing w:val="14"/>
        </w:rPr>
        <w:t>10. Revision History</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440"/>
            <w:shd w:val="clear" w:color="auto" w:fill="5A2A4D"/>
          </w:tcPr>
          <w:p>
            <w:pPr>
              <w:spacing w:after="0" w:before="0"/>
            </w:pPr>
            <w:r/>
            <w:r>
              <w:rPr>
                <w:rFonts w:ascii="Calibri" w:hAnsi="Calibri"/>
                <w:b/>
                <w:i w:val="0"/>
                <w:color w:val="FFFFFF"/>
                <w:sz w:val="16"/>
              </w:rPr>
              <w:t>Version</w:t>
            </w:r>
          </w:p>
        </w:tc>
        <w:tc>
          <w:tcPr>
            <w:tcW w:type="dxa" w:w="1656"/>
            <w:shd w:val="clear" w:color="auto" w:fill="5A2A4D"/>
          </w:tcPr>
          <w:p>
            <w:pPr>
              <w:spacing w:after="0" w:before="0"/>
            </w:pPr>
            <w:r/>
            <w:r>
              <w:rPr>
                <w:rFonts w:ascii="Calibri" w:hAnsi="Calibri"/>
                <w:b/>
                <w:i w:val="0"/>
                <w:color w:val="FFFFFF"/>
                <w:sz w:val="16"/>
              </w:rPr>
              <w:t>Date</w:t>
            </w:r>
          </w:p>
        </w:tc>
        <w:tc>
          <w:tcPr>
            <w:tcW w:type="dxa" w:w="2376"/>
            <w:shd w:val="clear" w:color="auto" w:fill="5A2A4D"/>
          </w:tcPr>
          <w:p>
            <w:pPr>
              <w:spacing w:after="0" w:before="0"/>
            </w:pPr>
            <w:r/>
            <w:r>
              <w:rPr>
                <w:rFonts w:ascii="Calibri" w:hAnsi="Calibri"/>
                <w:b/>
                <w:i w:val="0"/>
                <w:color w:val="FFFFFF"/>
                <w:sz w:val="16"/>
              </w:rPr>
              <w:t>Author</w:t>
            </w:r>
          </w:p>
        </w:tc>
        <w:tc>
          <w:tcPr>
            <w:tcW w:type="dxa" w:w="3888"/>
            <w:shd w:val="clear" w:color="auto" w:fill="5A2A4D"/>
          </w:tcPr>
          <w:p>
            <w:pPr>
              <w:spacing w:after="0" w:before="0"/>
            </w:pPr>
            <w:r/>
            <w:r>
              <w:rPr>
                <w:rFonts w:ascii="Calibri" w:hAnsi="Calibri"/>
                <w:b/>
                <w:i w:val="0"/>
                <w:color w:val="FFFFFF"/>
                <w:sz w:val="16"/>
              </w:rPr>
              <w:t>Change</w:t>
            </w:r>
          </w:p>
        </w:tc>
      </w:tr>
      <w:tr>
        <w:tc>
          <w:tcPr>
            <w:tcW w:type="dxa" w:w="1440"/>
            <w:vAlign w:val="center"/>
          </w:tcPr>
          <w:p>
            <w:pPr>
              <w:spacing w:after="0" w:before="0"/>
            </w:pPr>
            <w:r/>
            <w:r>
              <w:rPr>
                <w:rFonts w:ascii="Calibri" w:hAnsi="Calibri"/>
                <w:b/>
                <w:i w:val="0"/>
                <w:color w:val="5A2A4D"/>
                <w:sz w:val="17"/>
              </w:rPr>
              <w:t>Sample v1.0</w:t>
            </w:r>
          </w:p>
        </w:tc>
        <w:tc>
          <w:tcPr>
            <w:tcW w:type="dxa" w:w="1656"/>
            <w:vAlign w:val="center"/>
          </w:tcPr>
          <w:p>
            <w:pPr>
              <w:spacing w:after="0" w:before="0"/>
            </w:pPr>
            <w:r/>
            <w:r>
              <w:rPr>
                <w:rFonts w:ascii="Calibri" w:hAnsi="Calibri"/>
                <w:b w:val="0"/>
                <w:i w:val="0"/>
                <w:color w:val="2B2B2B"/>
                <w:sz w:val="17"/>
              </w:rPr>
              <w:t>2026-05-21</w:t>
            </w:r>
          </w:p>
        </w:tc>
        <w:tc>
          <w:tcPr>
            <w:tcW w:type="dxa" w:w="2376"/>
            <w:vAlign w:val="center"/>
          </w:tcPr>
          <w:p>
            <w:pPr>
              <w:spacing w:after="0" w:before="0"/>
            </w:pPr>
            <w:r/>
            <w:r>
              <w:rPr>
                <w:rFonts w:ascii="Calibri" w:hAnsi="Calibri"/>
                <w:b w:val="0"/>
                <w:i w:val="0"/>
                <w:color w:val="2B2B2B"/>
                <w:sz w:val="17"/>
              </w:rPr>
              <w:t>Controller</w:t>
            </w:r>
          </w:p>
        </w:tc>
        <w:tc>
          <w:tcPr>
            <w:tcW w:type="dxa" w:w="3888"/>
            <w:vAlign w:val="center"/>
          </w:tcPr>
          <w:p>
            <w:pPr>
              <w:spacing w:after="0" w:before="0"/>
            </w:pPr>
            <w:r/>
            <w:r>
              <w:rPr>
                <w:rFonts w:ascii="Calibri" w:hAnsi="Calibri"/>
                <w:b w:val="0"/>
                <w:i w:val="0"/>
                <w:color w:val="2B2B2B"/>
                <w:sz w:val="17"/>
              </w:rPr>
              <w:t>Training example for the Financial Foundations cohort.</w:t>
            </w:r>
          </w:p>
        </w:tc>
      </w:tr>
    </w:tbl>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Inventory Receiving &amp; Manifest Verification</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12 — Inventory Receiving &amp; Manifest Verification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Inventory Lead / Operations Manager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receives cannabis and cannabis-product inventory from licensed wholesale partners, verifies track-and-trace system transfer manifest, and brings product into both the seed-to-sale system and POS system point of sale. Disciplined receiving is the entry point of cannabis inventory accuracy.</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every inbound shipment of cannabis or cannabis product from a licensed cultivator, processor, or wholesale source. It begins when the transport vehicle arrives at the business and ends when received product is accepted into track-and-trace system, into POS system, and into the inventory accounting records. It complements SOP 11 (Inventory Counts &amp; Track-and-Trace Reconciliation), SOP 05 (AP Workflow), and SOP 13 (Inventory Adjustments, Waste &amp; Destruction).</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Track-and-trace system Transfer Manifest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seed-to-sale system's transfer record listing each package, weight, item type, source license, and destination license for an in-transit shipment.</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Receiving Window</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interval during which a manifested transfer is expected to arrive and during which the receiving process is performed.</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Acceptance / Rejection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Track-and-trace system action that records receipt of the shipment as complete, or returns specified packages to the originating licensee.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Package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track-and-trace system-tracked unit of cannabis product identified by a unique package tag.</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Bulk Flower Limit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Operational limits on unpackaged bulk cannabis on premises and per incoming package (cross-reference SOP 11 controls).</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Inventory Lead / Receiving Manager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Owns the receiving process; reviews the manifest in advance; signs the Receiving Record; approves Acceptance or Rejection in track-and-trace system.</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Receiving Agent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Performs the physical count, weight verification, and packaging-condition check; co-signs the Receiving Record.</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Confirms received quantities against vendor invoice (cross-reference SOP 05); records inventory at landed cost; flags pricing or quantity discrepancies.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Performs independent periodic review of receiving documentation and track-and-trace acceptance timing.</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Pre-Arrival</w:t>
      </w:r>
    </w:p>
    <w:p>
      <w:pPr>
        <w:pStyle w:val="ListBullet"/>
        <w:spacing w:before="20" w:after="40"/>
      </w:pPr>
      <w:r>
        <w:rPr>
          <w:rFonts w:ascii="Calibri" w:hAnsi="Calibri"/>
          <w:b w:val="0"/>
          <w:color w:val="2B2B2B"/>
          <w:sz w:val="19"/>
        </w:rPr>
        <w:t>The Inventory Lead reviews the inbound track-and-trace manifest before arrival, confirming source license, destination license, expected packages, and estimated arrival time.</w:t>
      </w:r>
    </w:p>
    <w:p>
      <w:pPr>
        <w:pStyle w:val="ListBullet"/>
        <w:spacing w:before="20" w:after="40"/>
      </w:pPr>
      <w:r>
        <w:rPr>
          <w:rFonts w:ascii="Calibri" w:hAnsi="Calibri"/>
          <w:b w:val="0"/>
          <w:color w:val="2B2B2B"/>
          <w:sz w:val="19"/>
        </w:rPr>
        <w:t>The vendor's onboarding status (SOP 06) is confirmed; product from a non-onboarded vendor is held pending onboarding completion.</w:t>
      </w:r>
    </w:p>
    <w:p>
      <w:pPr>
        <w:pStyle w:val="ListBullet"/>
        <w:spacing w:before="20" w:after="40"/>
      </w:pPr>
      <w:r>
        <w:rPr>
          <w:rFonts w:ascii="Calibri" w:hAnsi="Calibri"/>
          <w:b w:val="0"/>
          <w:color w:val="2B2B2B"/>
          <w:sz w:val="19"/>
        </w:rPr>
        <w:t>Receiving space is staged within the secure area and within video coverage; scales are tared and calibrated for the day if not already done.</w:t>
      </w:r>
    </w:p>
    <w:p>
      <w:pPr>
        <w:spacing w:before="120" w:after="60"/>
      </w:pPr>
      <w:r>
        <w:rPr>
          <w:rFonts w:ascii="Calibri" w:hAnsi="Calibri"/>
          <w:b/>
          <w:color w:val="5A2A4D"/>
          <w:sz w:val="20"/>
        </w:rPr>
        <w:t>B. Vehicle Arrival &amp; Identity Check</w:t>
      </w:r>
    </w:p>
    <w:p>
      <w:pPr>
        <w:pStyle w:val="ListBullet"/>
        <w:spacing w:before="20" w:after="40"/>
      </w:pPr>
      <w:r>
        <w:rPr>
          <w:rFonts w:ascii="Calibri" w:hAnsi="Calibri"/>
          <w:b w:val="0"/>
          <w:color w:val="2B2B2B"/>
          <w:sz w:val="19"/>
        </w:rPr>
        <w:t>On arrival, the driver presents transport identification and the manifest; the Inventory Lead verifies the driver and vehicle against the manifest.</w:t>
      </w:r>
    </w:p>
    <w:p>
      <w:pPr>
        <w:pStyle w:val="ListBullet"/>
        <w:spacing w:before="20" w:after="40"/>
      </w:pPr>
      <w:r>
        <w:rPr>
          <w:rFonts w:ascii="Calibri" w:hAnsi="Calibri"/>
          <w:b w:val="0"/>
          <w:color w:val="2B2B2B"/>
          <w:sz w:val="19"/>
        </w:rPr>
        <w:t>Discrepancies in identity or in expected packages trigger refusal to accept; the originating licensee is contacted before any further action.</w:t>
      </w:r>
    </w:p>
    <w:p>
      <w:pPr>
        <w:spacing w:before="120" w:after="60"/>
      </w:pPr>
      <w:r>
        <w:rPr>
          <w:rFonts w:ascii="Calibri" w:hAnsi="Calibri"/>
          <w:b/>
          <w:color w:val="5A2A4D"/>
          <w:sz w:val="20"/>
        </w:rPr>
        <w:t>C. Package Verification</w:t>
      </w:r>
    </w:p>
    <w:p>
      <w:pPr>
        <w:pStyle w:val="ListBullet"/>
        <w:spacing w:before="20" w:after="40"/>
      </w:pPr>
      <w:r>
        <w:rPr>
          <w:rFonts w:ascii="Calibri" w:hAnsi="Calibri"/>
          <w:b w:val="0"/>
          <w:color w:val="2B2B2B"/>
          <w:sz w:val="19"/>
        </w:rPr>
        <w:t>Each package is verified individually: track-and-trace system tag scanned, weight measured, package condition inspected, and label information cross-checked against the manifest.</w:t>
      </w:r>
    </w:p>
    <w:p>
      <w:pPr>
        <w:pStyle w:val="ListBullet"/>
        <w:spacing w:before="20" w:after="40"/>
      </w:pPr>
      <w:r>
        <w:rPr>
          <w:rFonts w:ascii="Calibri" w:hAnsi="Calibri"/>
          <w:b w:val="0"/>
          <w:color w:val="2B2B2B"/>
          <w:sz w:val="19"/>
        </w:rPr>
        <w:t>Counts are performed under dual control — one agent counts, one verifies — with both signatures on the Receiving Record. Counting takes place within video coverage.</w:t>
      </w:r>
    </w:p>
    <w:p>
      <w:pPr>
        <w:pStyle w:val="ListBullet"/>
        <w:spacing w:before="20" w:after="40"/>
      </w:pPr>
      <w:r>
        <w:rPr>
          <w:rFonts w:ascii="Calibri" w:hAnsi="Calibri"/>
          <w:b w:val="0"/>
          <w:color w:val="2B2B2B"/>
          <w:sz w:val="19"/>
        </w:rPr>
        <w:t>Bulk flower limits are observed per SOP 11 controls: no individual incoming package above one pound of bulk flower; on-premises bulk flower kept within 50 pounds.</w:t>
      </w:r>
    </w:p>
    <w:p>
      <w:pPr>
        <w:spacing w:before="120" w:after="60"/>
      </w:pPr>
      <w:r>
        <w:rPr>
          <w:rFonts w:ascii="Calibri" w:hAnsi="Calibri"/>
          <w:b/>
          <w:color w:val="5A2A4D"/>
          <w:sz w:val="20"/>
        </w:rPr>
        <w:t>D. Track-and-trace system Acceptance &amp; POS system Receipt</w:t>
      </w:r>
    </w:p>
    <w:p>
      <w:pPr>
        <w:pStyle w:val="ListBullet"/>
        <w:spacing w:before="20" w:after="40"/>
      </w:pPr>
      <w:r>
        <w:rPr>
          <w:rFonts w:ascii="Calibri" w:hAnsi="Calibri"/>
          <w:b w:val="0"/>
          <w:color w:val="2B2B2B"/>
          <w:sz w:val="19"/>
        </w:rPr>
        <w:t>Once verification is complete and the manifest agrees with physical receipt, the Inventory Lead accepts the manifest in track-and-trace system. Packages outside spec are rejected back to the originator within track-and-trace system.</w:t>
      </w:r>
    </w:p>
    <w:p>
      <w:pPr>
        <w:pStyle w:val="ListBullet"/>
        <w:spacing w:before="20" w:after="40"/>
      </w:pPr>
      <w:r>
        <w:rPr>
          <w:rFonts w:ascii="Calibri" w:hAnsi="Calibri"/>
          <w:b w:val="0"/>
          <w:color w:val="2B2B2B"/>
          <w:sz w:val="19"/>
        </w:rPr>
        <w:t>Received product is brought into POS system with the correct product master linkage, unit cost, and track-and-trace system tag association.</w:t>
      </w:r>
    </w:p>
    <w:p>
      <w:pPr>
        <w:pStyle w:val="ListBullet"/>
        <w:spacing w:before="20" w:after="40"/>
      </w:pPr>
      <w:r>
        <w:rPr>
          <w:rFonts w:ascii="Calibri" w:hAnsi="Calibri"/>
          <w:b w:val="0"/>
          <w:color w:val="2B2B2B"/>
          <w:sz w:val="19"/>
        </w:rPr>
        <w:t>Product is moved to its assigned secure storage location; no product is moved to the sales floor until intake is complete.</w:t>
      </w:r>
    </w:p>
    <w:p>
      <w:pPr>
        <w:spacing w:before="120" w:after="60"/>
      </w:pPr>
      <w:r>
        <w:rPr>
          <w:rFonts w:ascii="Calibri" w:hAnsi="Calibri"/>
          <w:b/>
          <w:color w:val="5A2A4D"/>
          <w:sz w:val="20"/>
        </w:rPr>
        <w:t>E. Accounting Hand-off</w:t>
      </w:r>
    </w:p>
    <w:p>
      <w:pPr>
        <w:pStyle w:val="ListBullet"/>
        <w:spacing w:before="20" w:after="40"/>
      </w:pPr>
      <w:r>
        <w:rPr>
          <w:rFonts w:ascii="Calibri" w:hAnsi="Calibri"/>
          <w:b w:val="0"/>
          <w:color w:val="2B2B2B"/>
          <w:sz w:val="19"/>
        </w:rPr>
        <w:t>The signed Receiving Record, the manifest, and any rejection documentation are filed to document management system (08_Inventory) and transmitted to Accounting.</w:t>
      </w:r>
    </w:p>
    <w:p>
      <w:pPr>
        <w:pStyle w:val="ListBullet"/>
        <w:spacing w:before="20" w:after="40"/>
      </w:pPr>
      <w:r>
        <w:rPr>
          <w:rFonts w:ascii="Calibri" w:hAnsi="Calibri"/>
          <w:b w:val="0"/>
          <w:color w:val="2B2B2B"/>
          <w:sz w:val="19"/>
        </w:rPr>
        <w:t>Accounting reconciles received quantities and pricing to the vendor invoice per SOP 05, records inventory at landed cost, and flags any discrepancies for resolution.</w:t>
      </w:r>
    </w:p>
    <w:p>
      <w:pPr>
        <w:spacing w:before="120" w:after="80"/>
      </w:pPr>
      <w:r>
        <w:rPr>
          <w:rFonts w:ascii="Calibri" w:hAnsi="Calibri"/>
          <w:b w:val="0"/>
          <w:color w:val="707070"/>
          <w:sz w:val="17"/>
        </w:rPr>
        <w:t>Specific intake timing, the calibrated-scale brand, the assigned secure storage locations, and the receiving-day staffing are operational decisions. track-and-trace acceptance timing — same-business-day on arrival is Controller-recommended internal control — should be confirmed against current state regulator guidance.</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Dual control on receiving counts: count and verify by independent agents; both signatures on the Receiving Record.</w:t>
      </w:r>
    </w:p>
    <w:p>
      <w:pPr>
        <w:pStyle w:val="ListBullet"/>
        <w:spacing w:before="20" w:after="40"/>
      </w:pPr>
      <w:r>
        <w:rPr>
          <w:rFonts w:ascii="Calibri" w:hAnsi="Calibri"/>
          <w:b w:val="0"/>
          <w:color w:val="2B2B2B"/>
          <w:sz w:val="19"/>
        </w:rPr>
        <w:t>Manifest pre-review before arrival to surface expected discrepancies.</w:t>
      </w:r>
    </w:p>
    <w:p>
      <w:pPr>
        <w:pStyle w:val="ListBullet"/>
        <w:spacing w:before="20" w:after="40"/>
      </w:pPr>
      <w:r>
        <w:rPr>
          <w:rFonts w:ascii="Calibri" w:hAnsi="Calibri"/>
          <w:b w:val="0"/>
          <w:color w:val="2B2B2B"/>
          <w:sz w:val="19"/>
        </w:rPr>
        <w:t>Vendor onboarding completion (SOP 06) is a precondition for accepting product.</w:t>
      </w:r>
    </w:p>
    <w:p>
      <w:pPr>
        <w:pStyle w:val="ListBullet"/>
        <w:spacing w:before="20" w:after="40"/>
      </w:pPr>
      <w:r>
        <w:rPr>
          <w:rFonts w:ascii="Calibri" w:hAnsi="Calibri"/>
          <w:b w:val="0"/>
          <w:color w:val="2B2B2B"/>
          <w:sz w:val="19"/>
        </w:rPr>
        <w:t>Receiving occurs within video surveillance coverage and within the secure area.</w:t>
      </w:r>
    </w:p>
    <w:p>
      <w:pPr>
        <w:pStyle w:val="ListBullet"/>
        <w:spacing w:before="20" w:after="40"/>
      </w:pPr>
      <w:r>
        <w:rPr>
          <w:rFonts w:ascii="Calibri" w:hAnsi="Calibri"/>
          <w:b w:val="0"/>
          <w:color w:val="2B2B2B"/>
          <w:sz w:val="19"/>
        </w:rPr>
        <w:t>Track-and-trace acceptance is performed by the Inventory Lead, not by the receiving agent — separation between physical receipt and system acceptance.</w:t>
      </w:r>
    </w:p>
    <w:p>
      <w:pPr>
        <w:pStyle w:val="ListBullet"/>
        <w:spacing w:before="20" w:after="40"/>
      </w:pPr>
      <w:r>
        <w:rPr>
          <w:rFonts w:ascii="Calibri" w:hAnsi="Calibri"/>
          <w:b w:val="0"/>
          <w:color w:val="2B2B2B"/>
          <w:sz w:val="19"/>
        </w:rPr>
        <w:t>Three-way reconciliation: physical count, manifest, and vendor invoice must agree before AP approval.</w:t>
      </w:r>
    </w:p>
    <w:p>
      <w:pPr>
        <w:pStyle w:val="ListBullet"/>
        <w:spacing w:before="20" w:after="40"/>
      </w:pPr>
      <w:r>
        <w:rPr>
          <w:rFonts w:ascii="Calibri" w:hAnsi="Calibri"/>
          <w:b w:val="0"/>
          <w:color w:val="2B2B2B"/>
          <w:sz w:val="19"/>
        </w:rPr>
        <w:t>Bulk flower limits are enforced at intake.</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Applicable state cannabis transfers occur on track-and-trace manifests, and the business's receipt of those transfers is the regulatory record of inventory at the licensed premises. The specific timing windows for acceptance, the manifest-rejection process, and the bulk-flower limits should be confirmed against current state regulator guidance — confirm with cannabis counsel.</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cannabis regulations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Business must maintain accurate inventory records and use the seed-to-sale system; receiving is the entry point of inventory data integrity.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cannabis regulations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Use of the seed-to-sale tracking system (track-and-trace system) is mandatory for all cannabis movement, including receipt.</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cannabis regulations — security of premises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Receiving must occur within the alarmed, video-monitored secure area; transport drivers do not access non-receiving areas.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Bulk flower on-hand limit (50 lbs unpackaged)</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Operational limit reflected in current state regulator guidance — confirm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Per-package bulk flower limit (1 lb)</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Operational limit reflected in current state regulator guidance — confirm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Dual-control receiving count</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Independent verification of count and weight at intake.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Manifest pre-review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Pre-arrival review surfaces expected discrepancies and supports timely acceptance.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Separation between physical receipt and track-and-trace acceptance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agent who physically receives is not the same agent who accepts in track-and-trace system.</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Three-way reconciliation precondition for AP approval</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Receiving record reconciled to manifest and invoice before AP processes payment.</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Receiving Records (signed)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08_Inventory / 02_Receiving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 available to state cannabis regulator on request</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Track-and-trace manifests (received and rejected)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08_Inventory / 02_Receiving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 available to state cannabis regulator on request</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Vendor invoice cross-reference</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05_Accounts Payable / 03_Paid AP</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Rejection documentation</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08_Inventory / 02_Receiving / Rejections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Manifest discrepancy at receipt (package missing, weight off, tag mismatch): specific packages are rejected back to the originator within track-and-trace system; the rejection and the reason are documented; Owner and Controller are notified.</w:t>
      </w:r>
    </w:p>
    <w:p>
      <w:pPr>
        <w:pStyle w:val="ListBullet"/>
        <w:spacing w:before="20" w:after="40"/>
      </w:pPr>
      <w:r>
        <w:rPr>
          <w:rFonts w:ascii="Calibri" w:hAnsi="Calibri"/>
          <w:b w:val="0"/>
          <w:color w:val="2B2B2B"/>
          <w:sz w:val="19"/>
        </w:rPr>
        <w:t>Driver or vehicle identity mismatch: refuse acceptance; contact the originating licensee; notify Owner and Controller the same business day.</w:t>
      </w:r>
    </w:p>
    <w:p>
      <w:pPr>
        <w:pStyle w:val="ListBullet"/>
        <w:spacing w:before="20" w:after="40"/>
      </w:pPr>
      <w:r>
        <w:rPr>
          <w:rFonts w:ascii="Calibri" w:hAnsi="Calibri"/>
          <w:b w:val="0"/>
          <w:color w:val="2B2B2B"/>
          <w:sz w:val="19"/>
        </w:rPr>
        <w:t>Suspected theft, diversion, or tampering during transit: secure the affected packages, preserve video, notify Owner and Controller, and notify state cannabis regulator within one business day per current state regulator guidance — confirm with counsel.</w:t>
      </w:r>
    </w:p>
    <w:p>
      <w:pPr>
        <w:pStyle w:val="ListBullet"/>
        <w:spacing w:before="20" w:after="40"/>
      </w:pPr>
      <w:r>
        <w:rPr>
          <w:rFonts w:ascii="Calibri" w:hAnsi="Calibri"/>
          <w:b w:val="0"/>
          <w:color w:val="2B2B2B"/>
          <w:sz w:val="19"/>
        </w:rPr>
        <w:t>Bulk-flower limit exceeded at intake: refuse the excess portion of the package or shipment; document the refusal in the Receiving Record.</w:t>
      </w:r>
    </w:p>
    <w:p>
      <w:pPr>
        <w:pStyle w:val="ListBullet"/>
        <w:spacing w:before="20" w:after="40"/>
      </w:pPr>
      <w:r>
        <w:rPr>
          <w:rFonts w:ascii="Calibri" w:hAnsi="Calibri"/>
          <w:b w:val="0"/>
          <w:color w:val="2B2B2B"/>
          <w:sz w:val="19"/>
        </w:rPr>
        <w:t>Vendor not onboarded: hold the shipment, complete onboarding (SOP 06) before accepting, or refuse delivery.</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Inventory Adjustments, Waste &amp; Destruction</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13 — Inventory Adjustments, Waste &amp; Destruction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Inventory Lead / Operations Manager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handles non-sale changes to cannabis inventory — adjustments, waste, damaged or expired product, returns, and destruction. Disciplined adjustment and waste handling protects the integrity of track-and-trace system, supports cost-of-goods accuracy, and limits diversion risk.</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any change in cannabis inventory not driven by a sale to a patient or consumer: waste, expired product, damaged product, returns, internal samples (if and when permitted by state cannabis regulator), and destruction. It complements SOP 11 (Inventory Counts &amp; Track-and-Trace Reconciliation) and SOP 12 (Receiving).</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Waste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Cannabis material that will not be sold — including trim, spillage, or unsellable returns — that must be tracked and disposed in compliance with state regulator guidance.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Adjustment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track-and-trace package adjustment recorded to correct weight or count, with a documented reason.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Destruction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physical rendering of cannabis material unusable and unrecognizable, performed in accordance with state regulator guidance.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Hold-and-Witness Period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An interval during which cannabis waste is segregated, logged, and held under video coverage prior to destruction — confirm current state cannabis regulator requirement with counsel.</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Inventory Lead / Operations Manager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adjustments, waste entries, and destruction events; signs all related track-and-trace system and SOP records.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Receiving Agent / Inventory Agent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Identifies waste candidates, performs counts under dual control, and signs supporting records.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Witness</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Co-signs every adjustment and every destruction event.</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Records inventory write-offs and waste expense; reconciles GL inventory to post-adjustment track-and-trace system and POS system quantities.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adjustment and waste patterns for control deficiencies; participates in destruction witness on a sample basis.</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Identifying &amp; Segregating Waste</w:t>
      </w:r>
    </w:p>
    <w:p>
      <w:pPr>
        <w:pStyle w:val="ListBullet"/>
        <w:spacing w:before="20" w:after="40"/>
      </w:pPr>
      <w:r>
        <w:rPr>
          <w:rFonts w:ascii="Calibri" w:hAnsi="Calibri"/>
          <w:b w:val="0"/>
          <w:color w:val="2B2B2B"/>
          <w:sz w:val="19"/>
        </w:rPr>
        <w:t>Cannabis identified as waste, expired, damaged, or unsellable is moved to a designated waste-hold area within the secure premises, under video coverage.</w:t>
      </w:r>
    </w:p>
    <w:p>
      <w:pPr>
        <w:pStyle w:val="ListBullet"/>
        <w:spacing w:before="20" w:after="40"/>
      </w:pPr>
      <w:r>
        <w:rPr>
          <w:rFonts w:ascii="Calibri" w:hAnsi="Calibri"/>
          <w:b w:val="0"/>
          <w:color w:val="2B2B2B"/>
          <w:sz w:val="19"/>
        </w:rPr>
        <w:t>Each item is logged on the Waste &amp; Adjustment Log with date, track-and-trace system tag, weight, category, and reason. Two signatures — Inventory Agent and Witness.</w:t>
      </w:r>
    </w:p>
    <w:p>
      <w:pPr>
        <w:pStyle w:val="ListBullet"/>
        <w:spacing w:before="20" w:after="40"/>
      </w:pPr>
      <w:r>
        <w:rPr>
          <w:rFonts w:ascii="Calibri" w:hAnsi="Calibri"/>
          <w:b w:val="0"/>
          <w:color w:val="2B2B2B"/>
          <w:sz w:val="19"/>
        </w:rPr>
        <w:t>Held material is not co-mingled with sellable inventory at any point.</w:t>
      </w:r>
    </w:p>
    <w:p>
      <w:pPr>
        <w:spacing w:before="120" w:after="60"/>
      </w:pPr>
      <w:r>
        <w:rPr>
          <w:rFonts w:ascii="Calibri" w:hAnsi="Calibri"/>
          <w:b/>
          <w:color w:val="5A2A4D"/>
          <w:sz w:val="20"/>
        </w:rPr>
        <w:t>B. Track-and-trace system Adjustment</w:t>
      </w:r>
    </w:p>
    <w:p>
      <w:pPr>
        <w:pStyle w:val="ListBullet"/>
        <w:spacing w:before="20" w:after="40"/>
      </w:pPr>
      <w:r>
        <w:rPr>
          <w:rFonts w:ascii="Calibri" w:hAnsi="Calibri"/>
          <w:b w:val="0"/>
          <w:color w:val="2B2B2B"/>
          <w:sz w:val="19"/>
        </w:rPr>
        <w:t>The Inventory Lead enters the adjustment in track-and-trace system against the affected package(s), with the prescribed reason code.</w:t>
      </w:r>
    </w:p>
    <w:p>
      <w:pPr>
        <w:pStyle w:val="ListBullet"/>
        <w:spacing w:before="20" w:after="40"/>
      </w:pPr>
      <w:r>
        <w:rPr>
          <w:rFonts w:ascii="Calibri" w:hAnsi="Calibri"/>
          <w:b w:val="0"/>
          <w:color w:val="2B2B2B"/>
          <w:sz w:val="19"/>
        </w:rPr>
        <w:t>Adjustments are entered same-business-day where operationally feasible; the delay (if any) is noted on the Waste &amp; Adjustment Log.</w:t>
      </w:r>
    </w:p>
    <w:p>
      <w:pPr>
        <w:pStyle w:val="ListBullet"/>
        <w:spacing w:before="20" w:after="40"/>
      </w:pPr>
      <w:r>
        <w:rPr>
          <w:rFonts w:ascii="Calibri" w:hAnsi="Calibri"/>
          <w:b w:val="0"/>
          <w:color w:val="2B2B2B"/>
          <w:sz w:val="19"/>
        </w:rPr>
        <w:t>A separate Adjustment Approval line is signed by the Inventory Lead and by the Witness on the Log.</w:t>
      </w:r>
    </w:p>
    <w:p>
      <w:pPr>
        <w:spacing w:before="120" w:after="60"/>
      </w:pPr>
      <w:r>
        <w:rPr>
          <w:rFonts w:ascii="Calibri" w:hAnsi="Calibri"/>
          <w:b/>
          <w:color w:val="5A2A4D"/>
          <w:sz w:val="20"/>
        </w:rPr>
        <w:t>C. Hold-and-Witness Period &amp; Destruction</w:t>
      </w:r>
    </w:p>
    <w:p>
      <w:pPr>
        <w:pStyle w:val="ListBullet"/>
        <w:spacing w:before="20" w:after="40"/>
      </w:pPr>
      <w:r>
        <w:rPr>
          <w:rFonts w:ascii="Calibri" w:hAnsi="Calibri"/>
          <w:b w:val="0"/>
          <w:color w:val="2B2B2B"/>
          <w:sz w:val="19"/>
        </w:rPr>
        <w:t>Waste is held in the designated area for the required hold-and-witness period — confirm current state cannabis regulator requirement with counsel.</w:t>
      </w:r>
    </w:p>
    <w:p>
      <w:pPr>
        <w:pStyle w:val="ListBullet"/>
        <w:spacing w:before="20" w:after="40"/>
      </w:pPr>
      <w:r>
        <w:rPr>
          <w:rFonts w:ascii="Calibri" w:hAnsi="Calibri"/>
          <w:b w:val="0"/>
          <w:color w:val="2B2B2B"/>
          <w:sz w:val="19"/>
        </w:rPr>
        <w:t>Destruction is performed in accordance with state regulator guidance — typically rendering material unusable and unrecognizable, often by mixing with a specified percentage of non-cannabis waste — and is witnessed by a second individual.</w:t>
      </w:r>
    </w:p>
    <w:p>
      <w:pPr>
        <w:pStyle w:val="ListBullet"/>
        <w:spacing w:before="20" w:after="40"/>
      </w:pPr>
      <w:r>
        <w:rPr>
          <w:rFonts w:ascii="Calibri" w:hAnsi="Calibri"/>
          <w:b w:val="0"/>
          <w:color w:val="2B2B2B"/>
          <w:sz w:val="19"/>
        </w:rPr>
        <w:t>The Destruction Record is completed with date, items, weights, method, and two signatures.</w:t>
      </w:r>
    </w:p>
    <w:p>
      <w:pPr>
        <w:spacing w:before="120" w:after="60"/>
      </w:pPr>
      <w:r>
        <w:rPr>
          <w:rFonts w:ascii="Calibri" w:hAnsi="Calibri"/>
          <w:b/>
          <w:color w:val="5A2A4D"/>
          <w:sz w:val="20"/>
        </w:rPr>
        <w:t>D. Returns From Patients / Consumers</w:t>
      </w:r>
    </w:p>
    <w:p>
      <w:pPr>
        <w:pStyle w:val="ListBullet"/>
        <w:spacing w:before="20" w:after="40"/>
      </w:pPr>
      <w:r>
        <w:rPr>
          <w:rFonts w:ascii="Calibri" w:hAnsi="Calibri"/>
          <w:b w:val="0"/>
          <w:color w:val="2B2B2B"/>
          <w:sz w:val="19"/>
        </w:rPr>
        <w:t>Returns are accepted only as state regulator guidance permits — confirm current policy with counsel before establishing the return path; many product categories are non-returnable.</w:t>
      </w:r>
    </w:p>
    <w:p>
      <w:pPr>
        <w:pStyle w:val="ListBullet"/>
        <w:spacing w:before="20" w:after="40"/>
      </w:pPr>
      <w:r>
        <w:rPr>
          <w:rFonts w:ascii="Calibri" w:hAnsi="Calibri"/>
          <w:b w:val="0"/>
          <w:color w:val="2B2B2B"/>
          <w:sz w:val="19"/>
        </w:rPr>
        <w:t>Accepted returns are logged, entered to track-and-trace system as the appropriate adjustment type, and routed to waste-hold or, where eligible, to a vendor-credit process under SOP 05.</w:t>
      </w:r>
    </w:p>
    <w:p>
      <w:pPr>
        <w:spacing w:before="120" w:after="60"/>
      </w:pPr>
      <w:r>
        <w:rPr>
          <w:rFonts w:ascii="Calibri" w:hAnsi="Calibri"/>
          <w:b/>
          <w:color w:val="5A2A4D"/>
          <w:sz w:val="20"/>
        </w:rPr>
        <w:t>E. Accounting Hand-off</w:t>
      </w:r>
    </w:p>
    <w:p>
      <w:pPr>
        <w:pStyle w:val="ListBullet"/>
        <w:spacing w:before="20" w:after="40"/>
      </w:pPr>
      <w:r>
        <w:rPr>
          <w:rFonts w:ascii="Calibri" w:hAnsi="Calibri"/>
          <w:b w:val="0"/>
          <w:color w:val="2B2B2B"/>
          <w:sz w:val="19"/>
        </w:rPr>
        <w:t>The Waste &amp; Adjustment Log and Destruction Records are provided to Accounting on a defined cadence (at least monthly).</w:t>
      </w:r>
    </w:p>
    <w:p>
      <w:pPr>
        <w:pStyle w:val="ListBullet"/>
        <w:spacing w:before="20" w:after="40"/>
      </w:pPr>
      <w:r>
        <w:rPr>
          <w:rFonts w:ascii="Calibri" w:hAnsi="Calibri"/>
          <w:b w:val="0"/>
          <w:color w:val="2B2B2B"/>
          <w:sz w:val="19"/>
        </w:rPr>
        <w:t>Accounting writes off the adjusted inventory at carrying cost, classifies the expense in accordance with the chart of accounts and 280E considerations, and confirms post-adjustment track-and-trace system, POS system, and GL agreement.</w:t>
      </w:r>
    </w:p>
    <w:p>
      <w:pPr>
        <w:spacing w:before="120" w:after="80"/>
      </w:pPr>
      <w:r>
        <w:rPr>
          <w:rFonts w:ascii="Calibri" w:hAnsi="Calibri"/>
          <w:b w:val="0"/>
          <w:color w:val="707070"/>
          <w:sz w:val="17"/>
        </w:rPr>
        <w:t>The specific waste-hold area, the destruction method, and the destruction cadence are operational decisions for Company to set within current state regulator guidance. The Hold-and-Witness Period, the permitted return categories, and the destruction mechanics should be verified with cannabis counsel before this SOP is treated as authoritative.</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Dual control on every adjustment and every destruction event — two signatures in every case.</w:t>
      </w:r>
    </w:p>
    <w:p>
      <w:pPr>
        <w:pStyle w:val="ListBullet"/>
        <w:spacing w:before="20" w:after="40"/>
      </w:pPr>
      <w:r>
        <w:rPr>
          <w:rFonts w:ascii="Calibri" w:hAnsi="Calibri"/>
          <w:b w:val="0"/>
          <w:color w:val="2B2B2B"/>
          <w:sz w:val="19"/>
        </w:rPr>
        <w:t>Same-business-day track-and-trace system adjustment standard, with any delay logged.</w:t>
      </w:r>
    </w:p>
    <w:p>
      <w:pPr>
        <w:pStyle w:val="ListBullet"/>
        <w:spacing w:before="20" w:after="40"/>
      </w:pPr>
      <w:r>
        <w:rPr>
          <w:rFonts w:ascii="Calibri" w:hAnsi="Calibri"/>
          <w:b w:val="0"/>
          <w:color w:val="2B2B2B"/>
          <w:sz w:val="19"/>
        </w:rPr>
        <w:t>Designated waste-hold area within the secure premises and within video coverage.</w:t>
      </w:r>
    </w:p>
    <w:p>
      <w:pPr>
        <w:pStyle w:val="ListBullet"/>
        <w:spacing w:before="20" w:after="40"/>
      </w:pPr>
      <w:r>
        <w:rPr>
          <w:rFonts w:ascii="Calibri" w:hAnsi="Calibri"/>
          <w:b w:val="0"/>
          <w:color w:val="2B2B2B"/>
          <w:sz w:val="19"/>
        </w:rPr>
        <w:t>Adjustment pattern review by Controller — repeated adjustments on the same package, by the same agent, or in the same category are escalated.</w:t>
      </w:r>
    </w:p>
    <w:p>
      <w:pPr>
        <w:pStyle w:val="ListBullet"/>
        <w:spacing w:before="20" w:after="40"/>
      </w:pPr>
      <w:r>
        <w:rPr>
          <w:rFonts w:ascii="Calibri" w:hAnsi="Calibri"/>
          <w:b w:val="0"/>
          <w:color w:val="2B2B2B"/>
          <w:sz w:val="19"/>
        </w:rPr>
        <w:t>Returns accepted only as state regulator guidance permits.</w:t>
      </w:r>
    </w:p>
    <w:p>
      <w:pPr>
        <w:pStyle w:val="ListBullet"/>
        <w:spacing w:before="20" w:after="40"/>
      </w:pPr>
      <w:r>
        <w:rPr>
          <w:rFonts w:ascii="Calibri" w:hAnsi="Calibri"/>
          <w:b w:val="0"/>
          <w:color w:val="2B2B2B"/>
          <w:sz w:val="19"/>
        </w:rPr>
        <w:t>Inventory write-offs are entered to QuickBooks Online by Accounting, not by the Inventory Lead — separation between operational adjustment and financial posting.</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Cannabis waste and destruction are governed by state regulator guidance and applicable state cannabis regulations. Operators are expected to render waste unusable and unrecognizable prior to disposal, often under witness, and to track all adjustments in track-and-trace system. The specific waste-hold period, witness requirements, and destruction method should be verified with counsel — requirements should be confirmed with counsel before adoption.</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cannabis regulations (inventory)</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All cannabis inventory changes are tracked in the seed-to-sale system; adjustments are recorded with reason.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State regulator guidance — destruction of cannabis waste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Waste is rendered unusable and unrecognizable prior to disposal — confirm current method requirements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State regulator guidance — hold-and-witness period</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defined hold period under witness prior to destruction may apply — confirm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cannabis regulations (security of premises)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Waste handling and destruction occur within the alarmed, video-monitored secure area.</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Dual signature on every adjustment and destruction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Two-person verification of every non-sale inventory change.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Same-business-day track-and-trace system adjustment</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Internal control standard to prevent drift between physical and track-and-trace system stock.</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Pattern review by Controller</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Periodic review surfaces controls deficiencies and diversion risk.</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Separation between operational adjustment and financial posting</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Operational role records the waste; accounting posts the write-off.</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280E classification of waste write-offs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Confirm with cannabis CPA whether waste write-offs are deductible as COGS or are subject to 280E disallowance.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Waste &amp; Adjustment Log (signed)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08_Inventory / 03_Adjustments &amp; Waste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 available to state cannabis regulator on request</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Track-and-trace system adjustment exports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08_Inventory / 03_Adjustments &amp; Waste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Destruction Records (signed)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08_Inventory / 04_Destruction</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 available to state cannabis regulator on request</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Returns log</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08_Inventory / 05_Returns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Inventory write-off journal entries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02_Journal Entries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Adjustment greater than the SOP 11 reporting threshold (0.5% category-level): follow SOP 11 escalation — internal investigation, Controller and Owner notification, state cannabis regulator reporting if unresolved within 30 business days. Confirm current threshold with counsel.</w:t>
      </w:r>
    </w:p>
    <w:p>
      <w:pPr>
        <w:pStyle w:val="ListBullet"/>
        <w:spacing w:before="20" w:after="40"/>
      </w:pPr>
      <w:r>
        <w:rPr>
          <w:rFonts w:ascii="Calibri" w:hAnsi="Calibri"/>
          <w:b w:val="0"/>
          <w:color w:val="2B2B2B"/>
          <w:sz w:val="19"/>
        </w:rPr>
        <w:t>Suspected theft, diversion, or tampering: secure the area, preserve video, notify Owner and Controller immediately, notify state cannabis regulator within one business day per current state regulator guidance.</w:t>
      </w:r>
    </w:p>
    <w:p>
      <w:pPr>
        <w:pStyle w:val="ListBullet"/>
        <w:spacing w:before="20" w:after="40"/>
      </w:pPr>
      <w:r>
        <w:rPr>
          <w:rFonts w:ascii="Calibri" w:hAnsi="Calibri"/>
          <w:b w:val="0"/>
          <w:color w:val="2B2B2B"/>
          <w:sz w:val="19"/>
        </w:rPr>
        <w:t>Recurring adjustments tied to the same agent, the same package, or the same product category are escalated to Controller for a controls review.</w:t>
      </w:r>
    </w:p>
    <w:p>
      <w:pPr>
        <w:pStyle w:val="ListBullet"/>
        <w:spacing w:before="20" w:after="40"/>
      </w:pPr>
      <w:r>
        <w:rPr>
          <w:rFonts w:ascii="Calibri" w:hAnsi="Calibri"/>
          <w:b w:val="0"/>
          <w:color w:val="2B2B2B"/>
          <w:sz w:val="19"/>
        </w:rPr>
        <w:t>Destruction performed without a witness: voided and re-performed under witness; the gap is documented on the Destruction Record and escalated to Owner.</w:t>
      </w:r>
    </w:p>
    <w:p>
      <w:pPr>
        <w:pStyle w:val="ListBullet"/>
        <w:spacing w:before="20" w:after="40"/>
      </w:pPr>
      <w:r>
        <w:rPr>
          <w:rFonts w:ascii="Calibri" w:hAnsi="Calibri"/>
          <w:b w:val="0"/>
          <w:color w:val="2B2B2B"/>
          <w:sz w:val="19"/>
        </w:rPr>
        <w:t>Return outside permitted categories: refused; the customer is informed and the refusal is logged.</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Financial Reporting &amp; Distribution</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14 — Financial Reporting &amp; Distribution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 (with Accounting administration)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the recurring financial reports Company produces, the review controls before distribution, the recipients and channel, and the controls on derivative or ad-hoc reporting. Disciplined reporting supports owner decisions, investor / lender obligations, and audit-readiness.</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internal monthly and quarterly reporting; ad-hoc management reporting; reporting to investors, lenders, or regulators (if applicable); and the underlying workpapers. It complements SOP 17 (Monthly Close), SOP 16 (Document Retention), and SOP 20 (Controller Oversight).</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Reporting Package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standard financial report set produced for Owner each month — Balance Sheet, P&amp;L, Cash Flow, key reconciliations, narrative.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Quarterly Reporting Package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An expanded package for Owner and any external recipients on a quarterly cadence.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Ad-Hoc Report</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Any report produced outside the recurring package — a specific cut, a scenario, an investor / lender request.</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External Distribution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Reporting that leaves the Company — to investors, lenders, state cannabis regulator (if required), or other third parties.</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Produces the recurring reports from QBO and supporting workpapers; tracks the distribution log.</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and approves every report before distribution; signs the monthly narrative; owns the standard report set.</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Receives reports; signs off on the monthly package; approves any external distribution.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Counsel / CPA (as applicable)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any reporting carrying legal or tax representation prior to external distribution.</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Standard Monthly Package</w:t>
      </w:r>
    </w:p>
    <w:p>
      <w:pPr>
        <w:pStyle w:val="ListBullet"/>
        <w:spacing w:before="20" w:after="40"/>
      </w:pPr>
      <w:r>
        <w:rPr>
          <w:rFonts w:ascii="Calibri" w:hAnsi="Calibri"/>
          <w:b w:val="0"/>
          <w:color w:val="2B2B2B"/>
          <w:sz w:val="19"/>
        </w:rPr>
        <w:t>Accounting produces the Monthly Reporting Package once the period is closed (SOP 17).</w:t>
      </w:r>
    </w:p>
    <w:p>
      <w:pPr>
        <w:pStyle w:val="ListBullet"/>
        <w:spacing w:before="20" w:after="40"/>
      </w:pPr>
      <w:r>
        <w:rPr>
          <w:rFonts w:ascii="Calibri" w:hAnsi="Calibri"/>
          <w:b w:val="0"/>
          <w:color w:val="2B2B2B"/>
          <w:sz w:val="19"/>
        </w:rPr>
        <w:t>The package includes: Balance Sheet, P&amp;L (month, YTD, vs. budget if applicable), Statement of Cash Flows, AR / AP aging, inventory roll-forward, payroll summary, cash-position snapshot, and a one-page narrative.</w:t>
      </w:r>
    </w:p>
    <w:p>
      <w:pPr>
        <w:pStyle w:val="ListBullet"/>
        <w:spacing w:before="20" w:after="40"/>
      </w:pPr>
      <w:r>
        <w:rPr>
          <w:rFonts w:ascii="Calibri" w:hAnsi="Calibri"/>
          <w:b w:val="0"/>
          <w:color w:val="2B2B2B"/>
          <w:sz w:val="19"/>
        </w:rPr>
        <w:t>Controller reviews, edits the narrative, and approves the package; Accounting files the final to document management system (12_Reporting / 01_Monthly Reporting).</w:t>
      </w:r>
    </w:p>
    <w:p>
      <w:pPr>
        <w:spacing w:before="120" w:after="60"/>
      </w:pPr>
      <w:r>
        <w:rPr>
          <w:rFonts w:ascii="Calibri" w:hAnsi="Calibri"/>
          <w:b/>
          <w:color w:val="5A2A4D"/>
          <w:sz w:val="20"/>
        </w:rPr>
        <w:t>B. Distribution</w:t>
      </w:r>
    </w:p>
    <w:p>
      <w:pPr>
        <w:pStyle w:val="ListBullet"/>
        <w:spacing w:before="20" w:after="40"/>
      </w:pPr>
      <w:r>
        <w:rPr>
          <w:rFonts w:ascii="Calibri" w:hAnsi="Calibri"/>
          <w:b w:val="0"/>
          <w:color w:val="2B2B2B"/>
          <w:sz w:val="19"/>
        </w:rPr>
        <w:t>The approved package is delivered to Owner through a defined channel (secure document management system link, encrypted email, or in-person review).</w:t>
      </w:r>
    </w:p>
    <w:p>
      <w:pPr>
        <w:pStyle w:val="ListBullet"/>
        <w:spacing w:before="20" w:after="40"/>
      </w:pPr>
      <w:r>
        <w:rPr>
          <w:rFonts w:ascii="Calibri" w:hAnsi="Calibri"/>
          <w:b w:val="0"/>
          <w:color w:val="2B2B2B"/>
          <w:sz w:val="19"/>
        </w:rPr>
        <w:t>The distribution is logged in the Reporting Distribution Log with date, recipient, channel, and Controller approver.</w:t>
      </w:r>
    </w:p>
    <w:p>
      <w:pPr>
        <w:spacing w:before="120" w:after="60"/>
      </w:pPr>
      <w:r>
        <w:rPr>
          <w:rFonts w:ascii="Calibri" w:hAnsi="Calibri"/>
          <w:b/>
          <w:color w:val="5A2A4D"/>
          <w:sz w:val="20"/>
        </w:rPr>
        <w:t>C. Quarterly &amp; Annual</w:t>
      </w:r>
    </w:p>
    <w:p>
      <w:pPr>
        <w:pStyle w:val="ListBullet"/>
        <w:spacing w:before="20" w:after="40"/>
      </w:pPr>
      <w:r>
        <w:rPr>
          <w:rFonts w:ascii="Calibri" w:hAnsi="Calibri"/>
          <w:b w:val="0"/>
          <w:color w:val="2B2B2B"/>
          <w:sz w:val="19"/>
        </w:rPr>
        <w:t>The quarterly package adds: trend analysis, key-metric dashboards, 280E tax-reserve roll-forward (with cannabis CPA), and any scheduled investor / lender reports.</w:t>
      </w:r>
    </w:p>
    <w:p>
      <w:pPr>
        <w:pStyle w:val="ListBullet"/>
        <w:spacing w:before="20" w:after="40"/>
      </w:pPr>
      <w:r>
        <w:rPr>
          <w:rFonts w:ascii="Calibri" w:hAnsi="Calibri"/>
          <w:b w:val="0"/>
          <w:color w:val="2B2B2B"/>
          <w:sz w:val="19"/>
        </w:rPr>
        <w:t>The annual package adds: tax-package handoff to the CPA, schedule of Owner distributions, and the year-end inventory and track-and-trace system summary.</w:t>
      </w:r>
    </w:p>
    <w:p>
      <w:pPr>
        <w:spacing w:before="120" w:after="60"/>
      </w:pPr>
      <w:r>
        <w:rPr>
          <w:rFonts w:ascii="Calibri" w:hAnsi="Calibri"/>
          <w:b/>
          <w:color w:val="5A2A4D"/>
          <w:sz w:val="20"/>
        </w:rPr>
        <w:t>D. Ad-Hoc Reports</w:t>
      </w:r>
    </w:p>
    <w:p>
      <w:pPr>
        <w:pStyle w:val="ListBullet"/>
        <w:spacing w:before="20" w:after="40"/>
      </w:pPr>
      <w:r>
        <w:rPr>
          <w:rFonts w:ascii="Calibri" w:hAnsi="Calibri"/>
          <w:b w:val="0"/>
          <w:color w:val="2B2B2B"/>
          <w:sz w:val="19"/>
        </w:rPr>
        <w:t>Ad-hoc requests are logged; Controller confirms the report does not duplicate or contradict the standard package.</w:t>
      </w:r>
    </w:p>
    <w:p>
      <w:pPr>
        <w:pStyle w:val="ListBullet"/>
        <w:spacing w:before="20" w:after="40"/>
      </w:pPr>
      <w:r>
        <w:rPr>
          <w:rFonts w:ascii="Calibri" w:hAnsi="Calibri"/>
          <w:b w:val="0"/>
          <w:color w:val="2B2B2B"/>
          <w:sz w:val="19"/>
        </w:rPr>
        <w:t>All ad-hoc reports for external recipients require Owner approval and Controller review before release.</w:t>
      </w:r>
    </w:p>
    <w:p>
      <w:pPr>
        <w:spacing w:before="120" w:after="60"/>
      </w:pPr>
      <w:r>
        <w:rPr>
          <w:rFonts w:ascii="Calibri" w:hAnsi="Calibri"/>
          <w:b/>
          <w:color w:val="5A2A4D"/>
          <w:sz w:val="20"/>
        </w:rPr>
        <w:t>E. External Distribution</w:t>
      </w:r>
    </w:p>
    <w:p>
      <w:pPr>
        <w:pStyle w:val="ListBullet"/>
        <w:spacing w:before="20" w:after="40"/>
      </w:pPr>
      <w:r>
        <w:rPr>
          <w:rFonts w:ascii="Calibri" w:hAnsi="Calibri"/>
          <w:b w:val="0"/>
          <w:color w:val="2B2B2B"/>
          <w:sz w:val="19"/>
        </w:rPr>
        <w:t>External reporting requires Owner approval; counsel/CPA review is required for any report carrying legal or tax representation.</w:t>
      </w:r>
    </w:p>
    <w:p>
      <w:pPr>
        <w:pStyle w:val="ListBullet"/>
        <w:spacing w:before="20" w:after="40"/>
      </w:pPr>
      <w:r>
        <w:rPr>
          <w:rFonts w:ascii="Calibri" w:hAnsi="Calibri"/>
          <w:b w:val="0"/>
          <w:color w:val="2B2B2B"/>
          <w:sz w:val="19"/>
        </w:rPr>
        <w:t>External reports are watermarked or labeled (Confidential, Recipient name) before release.</w:t>
      </w:r>
    </w:p>
    <w:p>
      <w:pPr>
        <w:spacing w:before="120" w:after="80"/>
      </w:pPr>
      <w:r>
        <w:rPr>
          <w:rFonts w:ascii="Calibri" w:hAnsi="Calibri"/>
          <w:b w:val="0"/>
          <w:color w:val="707070"/>
          <w:sz w:val="17"/>
        </w:rPr>
        <w:t>The specific contents of the Monthly Reporting Package and Owner's preferred delivery channel are confirmed during implementation.</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Controller review and approval before every distribution.</w:t>
      </w:r>
    </w:p>
    <w:p>
      <w:pPr>
        <w:pStyle w:val="ListBullet"/>
        <w:spacing w:before="20" w:after="40"/>
      </w:pPr>
      <w:r>
        <w:rPr>
          <w:rFonts w:ascii="Calibri" w:hAnsi="Calibri"/>
          <w:b w:val="0"/>
          <w:color w:val="2B2B2B"/>
          <w:sz w:val="19"/>
        </w:rPr>
        <w:t>Distribution Log with date, recipient, channel, and approver.</w:t>
      </w:r>
    </w:p>
    <w:p>
      <w:pPr>
        <w:pStyle w:val="ListBullet"/>
        <w:spacing w:before="20" w:after="40"/>
      </w:pPr>
      <w:r>
        <w:rPr>
          <w:rFonts w:ascii="Calibri" w:hAnsi="Calibri"/>
          <w:b w:val="0"/>
          <w:color w:val="2B2B2B"/>
          <w:sz w:val="19"/>
        </w:rPr>
        <w:t>Owner approval required for all external distribution.</w:t>
      </w:r>
    </w:p>
    <w:p>
      <w:pPr>
        <w:pStyle w:val="ListBullet"/>
        <w:spacing w:before="20" w:after="40"/>
      </w:pPr>
      <w:r>
        <w:rPr>
          <w:rFonts w:ascii="Calibri" w:hAnsi="Calibri"/>
          <w:b w:val="0"/>
          <w:color w:val="2B2B2B"/>
          <w:sz w:val="19"/>
        </w:rPr>
        <w:t>Counsel/CPA review for reporting carrying legal or tax representation.</w:t>
      </w:r>
    </w:p>
    <w:p>
      <w:pPr>
        <w:pStyle w:val="ListBullet"/>
        <w:spacing w:before="20" w:after="40"/>
      </w:pPr>
      <w:r>
        <w:rPr>
          <w:rFonts w:ascii="Calibri" w:hAnsi="Calibri"/>
          <w:b w:val="0"/>
          <w:color w:val="2B2B2B"/>
          <w:sz w:val="19"/>
        </w:rPr>
        <w:t>Reports filed centrally in document management system; superseded versions retained.</w:t>
      </w:r>
    </w:p>
    <w:p>
      <w:pPr>
        <w:pStyle w:val="ListBullet"/>
        <w:spacing w:before="20" w:after="40"/>
      </w:pPr>
      <w:r>
        <w:rPr>
          <w:rFonts w:ascii="Calibri" w:hAnsi="Calibri"/>
          <w:b w:val="0"/>
          <w:color w:val="2B2B2B"/>
          <w:sz w:val="19"/>
        </w:rPr>
        <w:t>No ad-hoc external reports without Controller and Owner approval.</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Applicable state regulations do not prescribe specific financial reporting to state cannabis regulator in the operator's own format; state cannabis regulator-required reports (where applicable) are prepared through their specified channels. External investor and lender reporting follows the agreement terms in those documents — confirm with counsel.</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Standard recurring reporting cadence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Monthly, quarterly, annual standard packages.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 pre-distribution review and approval</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Independent review supports accuracy.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 approval for external distribution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Authorizing control on representations leaving the Company.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Counsel / CPA review on legal or tax representation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Reduces risk on external statements.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State cannabis regulator reporting (as applicable)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Confirm specific state cannabis regulator reporting requirements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Distribution Log</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Audit trail of who received what, when.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280E tax-reserve roll-forward in quarterly package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Reflects cannabis CPA's tax position.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Reporting Packages (final)</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12_Reporting / 01_Monthly Reporting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Quarterly Reporting Packages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12_Reporting / 02_Quarterly Reporting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Annual Reporting Packages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12_Reporting / 03_Annual Reporting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Distribution Log</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12_Reporting / 04_Distribution Log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Ad-hoc reports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12_Reporting / 05_Ad-Hoc</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Report distributed without Controller approval: surfaced in the Distribution Log review; documented as a controls exception and the recipient is contacted with the approved version.</w:t>
      </w:r>
    </w:p>
    <w:p>
      <w:pPr>
        <w:pStyle w:val="ListBullet"/>
        <w:spacing w:before="20" w:after="40"/>
      </w:pPr>
      <w:r>
        <w:rPr>
          <w:rFonts w:ascii="Calibri" w:hAnsi="Calibri"/>
          <w:b w:val="0"/>
          <w:color w:val="2B2B2B"/>
          <w:sz w:val="19"/>
        </w:rPr>
        <w:t>External recipient receives a report without Owner approval: same-business-day escalation; corrected version issued where appropriate.</w:t>
      </w:r>
    </w:p>
    <w:p>
      <w:pPr>
        <w:pStyle w:val="ListBullet"/>
        <w:spacing w:before="20" w:after="40"/>
      </w:pPr>
      <w:r>
        <w:rPr>
          <w:rFonts w:ascii="Calibri" w:hAnsi="Calibri"/>
          <w:b w:val="0"/>
          <w:color w:val="2B2B2B"/>
          <w:sz w:val="19"/>
        </w:rPr>
        <w:t>Material error discovered post-distribution: a corrected report is issued with a covering memo to recipients on the Distribution Log; documented as an exception.</w:t>
      </w:r>
    </w:p>
    <w:p>
      <w:pPr>
        <w:pStyle w:val="ListBullet"/>
        <w:spacing w:before="20" w:after="40"/>
      </w:pPr>
      <w:r>
        <w:rPr>
          <w:rFonts w:ascii="Calibri" w:hAnsi="Calibri"/>
          <w:b w:val="0"/>
          <w:color w:val="2B2B2B"/>
          <w:sz w:val="19"/>
        </w:rPr>
        <w:t>Suspected unauthorized release of confidential financial data: escalated to Owner and Controller immediately; cross-reference SOP 19.</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Chart of Accounts Maintenance</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15 — Chart of Accounts Maintenance</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 (architecture) / Accounting (administration)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maintains its chart of accounts (COA) in QuickBooks Online — adding, modifying, inactivating, and classifying accounts. A disciplined COA is foundational to clean financial reporting, scalable operations, and defensible 280E classification.</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all QBO accounts and to the class/location structure if used. It complements SOP 17 (Monthly Close), SOP 18 (Journal Entries), and SOP 14 (Financial Reporting).</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Chart of Accounts (COA)</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list of GL accounts used to classify financial transactions, organized by type (Asset, Liability, Equity, Income, COGS, Expense).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 Number Structure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numbering convention applied to each account — Company is evaluating a 5-digit structure during implementation.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280E Classification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categorization of expenses between COGS (potentially deductible) and operating expense (largely non-deductible) under IRC §280E — driven by the cannabis CPA's tax position.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Class / Location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Optional QBO dimensions used to segment results by department, store, or other operational cut.</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Owns the COA architecture, the numbering convention, and the 280E mapping; approves new accounts and account changes.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Administers the COA in QBO; submits change requests; trains AP, Payroll, and Operations on account use.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material COA changes (new segments, restructures); confirms operational segmentation needs.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Cannabis CPA</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Confirms the 280E mapping and any restructure tied to tax position.</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Initial Structure</w:t>
      </w:r>
    </w:p>
    <w:p>
      <w:pPr>
        <w:pStyle w:val="ListBullet"/>
        <w:spacing w:before="20" w:after="40"/>
      </w:pPr>
      <w:r>
        <w:rPr>
          <w:rFonts w:ascii="Calibri" w:hAnsi="Calibri"/>
          <w:b w:val="0"/>
          <w:color w:val="2B2B2B"/>
          <w:sz w:val="19"/>
        </w:rPr>
        <w:t>Company adopts a structured COA tailored to cannabis business operations, with COGS, operating, and 280E-relevant classifications.</w:t>
      </w:r>
    </w:p>
    <w:p>
      <w:pPr>
        <w:pStyle w:val="ListBullet"/>
        <w:spacing w:before="20" w:after="40"/>
      </w:pPr>
      <w:r>
        <w:rPr>
          <w:rFonts w:ascii="Calibri" w:hAnsi="Calibri"/>
          <w:b w:val="0"/>
          <w:color w:val="2B2B2B"/>
          <w:sz w:val="19"/>
        </w:rPr>
        <w:t>A 5-digit account numbering convention is being evaluated; once adopted, it is documented in the COA Governance Document.</w:t>
      </w:r>
    </w:p>
    <w:p>
      <w:pPr>
        <w:pStyle w:val="ListBullet"/>
        <w:spacing w:before="20" w:after="40"/>
      </w:pPr>
      <w:r>
        <w:rPr>
          <w:rFonts w:ascii="Calibri" w:hAnsi="Calibri"/>
          <w:b w:val="0"/>
          <w:color w:val="2B2B2B"/>
          <w:sz w:val="19"/>
        </w:rPr>
        <w:t>Class and location dimensions are used only if Owner confirms an operational need (e.g., multiple stores, departments).</w:t>
      </w:r>
    </w:p>
    <w:p>
      <w:pPr>
        <w:spacing w:before="120" w:after="60"/>
      </w:pPr>
      <w:r>
        <w:rPr>
          <w:rFonts w:ascii="Calibri" w:hAnsi="Calibri"/>
          <w:b/>
          <w:color w:val="5A2A4D"/>
          <w:sz w:val="20"/>
        </w:rPr>
        <w:t>B. Adding or Modifying Accounts</w:t>
      </w:r>
    </w:p>
    <w:p>
      <w:pPr>
        <w:pStyle w:val="ListBullet"/>
        <w:spacing w:before="20" w:after="40"/>
      </w:pPr>
      <w:r>
        <w:rPr>
          <w:rFonts w:ascii="Calibri" w:hAnsi="Calibri"/>
          <w:b w:val="0"/>
          <w:color w:val="2B2B2B"/>
          <w:sz w:val="19"/>
        </w:rPr>
        <w:t>All change requests are submitted to Accounting using the COA Change Request form, with rationale, account type, parent account, and 280E classification.</w:t>
      </w:r>
    </w:p>
    <w:p>
      <w:pPr>
        <w:pStyle w:val="ListBullet"/>
        <w:spacing w:before="20" w:after="40"/>
      </w:pPr>
      <w:r>
        <w:rPr>
          <w:rFonts w:ascii="Calibri" w:hAnsi="Calibri"/>
          <w:b w:val="0"/>
          <w:color w:val="2B2B2B"/>
          <w:sz w:val="19"/>
        </w:rPr>
        <w:t>Accounting reviews for duplication and consistency; Controller approves the change.</w:t>
      </w:r>
    </w:p>
    <w:p>
      <w:pPr>
        <w:pStyle w:val="ListBullet"/>
        <w:spacing w:before="20" w:after="40"/>
      </w:pPr>
      <w:r>
        <w:rPr>
          <w:rFonts w:ascii="Calibri" w:hAnsi="Calibri"/>
          <w:b w:val="0"/>
          <w:color w:val="2B2B2B"/>
          <w:sz w:val="19"/>
        </w:rPr>
        <w:t>Material changes (new segment, account restructure, 280E reclassification) require Owner approval and cannabis-CPA confirmation.</w:t>
      </w:r>
    </w:p>
    <w:p>
      <w:pPr>
        <w:pStyle w:val="ListBullet"/>
        <w:spacing w:before="20" w:after="40"/>
      </w:pPr>
      <w:r>
        <w:rPr>
          <w:rFonts w:ascii="Calibri" w:hAnsi="Calibri"/>
          <w:b w:val="0"/>
          <w:color w:val="2B2B2B"/>
          <w:sz w:val="19"/>
        </w:rPr>
        <w:t>Approved changes are implemented in QBO; the COA Governance Document is updated and re-issued.</w:t>
      </w:r>
    </w:p>
    <w:p>
      <w:pPr>
        <w:spacing w:before="120" w:after="60"/>
      </w:pPr>
      <w:r>
        <w:rPr>
          <w:rFonts w:ascii="Calibri" w:hAnsi="Calibri"/>
          <w:b/>
          <w:color w:val="5A2A4D"/>
          <w:sz w:val="20"/>
        </w:rPr>
        <w:t>C. Inactivating Accounts</w:t>
      </w:r>
    </w:p>
    <w:p>
      <w:pPr>
        <w:pStyle w:val="ListBullet"/>
        <w:spacing w:before="20" w:after="40"/>
      </w:pPr>
      <w:r>
        <w:rPr>
          <w:rFonts w:ascii="Calibri" w:hAnsi="Calibri"/>
          <w:b w:val="0"/>
          <w:color w:val="2B2B2B"/>
          <w:sz w:val="19"/>
        </w:rPr>
        <w:t>Accounts no longer used are inactivated rather than deleted, preserving history.</w:t>
      </w:r>
    </w:p>
    <w:p>
      <w:pPr>
        <w:pStyle w:val="ListBullet"/>
        <w:spacing w:before="20" w:after="40"/>
      </w:pPr>
      <w:r>
        <w:rPr>
          <w:rFonts w:ascii="Calibri" w:hAnsi="Calibri"/>
          <w:b w:val="0"/>
          <w:color w:val="2B2B2B"/>
          <w:sz w:val="19"/>
        </w:rPr>
        <w:t>Inactivation requires confirmation that no open balance or in-flight transactions reference the account.</w:t>
      </w:r>
    </w:p>
    <w:p>
      <w:pPr>
        <w:spacing w:before="120" w:after="60"/>
      </w:pPr>
      <w:r>
        <w:rPr>
          <w:rFonts w:ascii="Calibri" w:hAnsi="Calibri"/>
          <w:b/>
          <w:color w:val="5A2A4D"/>
          <w:sz w:val="20"/>
        </w:rPr>
        <w:t>D. Annual COA Review</w:t>
      </w:r>
    </w:p>
    <w:p>
      <w:pPr>
        <w:pStyle w:val="ListBullet"/>
        <w:spacing w:before="20" w:after="40"/>
      </w:pPr>
      <w:r>
        <w:rPr>
          <w:rFonts w:ascii="Calibri" w:hAnsi="Calibri"/>
          <w:b w:val="0"/>
          <w:color w:val="2B2B2B"/>
          <w:sz w:val="19"/>
        </w:rPr>
        <w:t>Controller performs an annual review of the COA against actual usage, identifying duplicate accounts, unused accounts, and inconsistencies.</w:t>
      </w:r>
    </w:p>
    <w:p>
      <w:pPr>
        <w:pStyle w:val="ListBullet"/>
        <w:spacing w:before="20" w:after="40"/>
      </w:pPr>
      <w:r>
        <w:rPr>
          <w:rFonts w:ascii="Calibri" w:hAnsi="Calibri"/>
          <w:b w:val="0"/>
          <w:color w:val="2B2B2B"/>
          <w:sz w:val="19"/>
        </w:rPr>
        <w:t>Recommendations are presented to Owner; approved adjustments are implemented before the new fiscal year.</w:t>
      </w:r>
    </w:p>
    <w:p>
      <w:pPr>
        <w:spacing w:before="120" w:after="60"/>
      </w:pPr>
      <w:r>
        <w:rPr>
          <w:rFonts w:ascii="Calibri" w:hAnsi="Calibri"/>
          <w:b/>
          <w:color w:val="5A2A4D"/>
          <w:sz w:val="20"/>
        </w:rPr>
        <w:t>E. Training &amp; Hand-off</w:t>
      </w:r>
    </w:p>
    <w:p>
      <w:pPr>
        <w:pStyle w:val="ListBullet"/>
        <w:spacing w:before="20" w:after="40"/>
      </w:pPr>
      <w:r>
        <w:rPr>
          <w:rFonts w:ascii="Calibri" w:hAnsi="Calibri"/>
          <w:b w:val="0"/>
          <w:color w:val="2B2B2B"/>
          <w:sz w:val="19"/>
        </w:rPr>
        <w:t>Accounting trains AP, Payroll, and Operations on correct account use; the COA Governance Document is the single source of truth.</w:t>
      </w:r>
    </w:p>
    <w:p>
      <w:pPr>
        <w:pStyle w:val="ListBullet"/>
        <w:spacing w:before="20" w:after="40"/>
      </w:pPr>
      <w:r>
        <w:rPr>
          <w:rFonts w:ascii="Calibri" w:hAnsi="Calibri"/>
          <w:b w:val="0"/>
          <w:color w:val="2B2B2B"/>
          <w:sz w:val="19"/>
        </w:rPr>
        <w:t>Operations leads consult Accounting before classifying ambiguous transactions.</w:t>
      </w:r>
    </w:p>
    <w:p>
      <w:pPr>
        <w:spacing w:before="120" w:after="80"/>
      </w:pPr>
      <w:r>
        <w:rPr>
          <w:rFonts w:ascii="Calibri" w:hAnsi="Calibri"/>
          <w:b w:val="0"/>
          <w:color w:val="707070"/>
          <w:sz w:val="17"/>
        </w:rPr>
        <w:t>The specific account numbering convention and the choice to use Classes / Locations are management and Controller decisions during implementation. The 280E COGS / operating mapping is confirmed with the cannabis CPA before adoption.</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COA Governance Document is a controlled document with version history.</w:t>
      </w:r>
    </w:p>
    <w:p>
      <w:pPr>
        <w:pStyle w:val="ListBullet"/>
        <w:spacing w:before="20" w:after="40"/>
      </w:pPr>
      <w:r>
        <w:rPr>
          <w:rFonts w:ascii="Calibri" w:hAnsi="Calibri"/>
          <w:b w:val="0"/>
          <w:color w:val="2B2B2B"/>
          <w:sz w:val="19"/>
        </w:rPr>
        <w:t>Change Request workflow with Controller approval — no ad-hoc additions in QBO.</w:t>
      </w:r>
    </w:p>
    <w:p>
      <w:pPr>
        <w:pStyle w:val="ListBullet"/>
        <w:spacing w:before="20" w:after="40"/>
      </w:pPr>
      <w:r>
        <w:rPr>
          <w:rFonts w:ascii="Calibri" w:hAnsi="Calibri"/>
          <w:b w:val="0"/>
          <w:color w:val="2B2B2B"/>
          <w:sz w:val="19"/>
        </w:rPr>
        <w:t>Owner approval and CPA confirmation for material changes.</w:t>
      </w:r>
    </w:p>
    <w:p>
      <w:pPr>
        <w:pStyle w:val="ListBullet"/>
        <w:spacing w:before="20" w:after="40"/>
      </w:pPr>
      <w:r>
        <w:rPr>
          <w:rFonts w:ascii="Calibri" w:hAnsi="Calibri"/>
          <w:b w:val="0"/>
          <w:color w:val="2B2B2B"/>
          <w:sz w:val="19"/>
        </w:rPr>
        <w:t>Inactivation rather than deletion preserves history.</w:t>
      </w:r>
    </w:p>
    <w:p>
      <w:pPr>
        <w:pStyle w:val="ListBullet"/>
        <w:spacing w:before="20" w:after="40"/>
      </w:pPr>
      <w:r>
        <w:rPr>
          <w:rFonts w:ascii="Calibri" w:hAnsi="Calibri"/>
          <w:b w:val="0"/>
          <w:color w:val="2B2B2B"/>
          <w:sz w:val="19"/>
        </w:rPr>
        <w:t>Annual COA review by Controller identifies drift.</w:t>
      </w:r>
    </w:p>
    <w:p>
      <w:pPr>
        <w:pStyle w:val="ListBullet"/>
        <w:spacing w:before="20" w:after="40"/>
      </w:pPr>
      <w:r>
        <w:rPr>
          <w:rFonts w:ascii="Calibri" w:hAnsi="Calibri"/>
          <w:b w:val="0"/>
          <w:color w:val="2B2B2B"/>
          <w:sz w:val="19"/>
        </w:rPr>
        <w:t>Operations consult Accounting before classifying ambiguous transactions.</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Applicable state regulations do not prescribe a chart of accounts; this SOP is accounting best practice. The 280E classification of COGS vs. operating expense is a tax position confirmed with the cannabis CPA.</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Structured COA aligned to operations and 280E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Supports clean reporting and defensible tax classification.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IRC §280E classification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COGS vs. operating expense classification mapping confirmed by the cannabis CPA — material to deductibility.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Controlled COA Governance Document</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Single source of truth with version history.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 approval for changes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Independent approval supports consistency.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 / CPA approval for material changes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Material restructures escalate appropriately.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Annual 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Detects drift, duplication, and underuse.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Inactivation not deletion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Preserves history and audit trail.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COA Governance Document (versioned)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01_Chart of Accounts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business; superseded versions retained 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COA Change Requests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01_Chart of Accounts / Change Requests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Annual COA review memos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01_Chart of Accounts / Annual Reviews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CPA confirmations on 280E mapping</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10_Tax &amp; 280E / 01_CPA Correspondence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Account created directly in QBO without a Change Request: identified by Controller annual review or interim spot-check; the account is reviewed for legitimacy, re-classified or inactivated, and the gap escalated.</w:t>
      </w:r>
    </w:p>
    <w:p>
      <w:pPr>
        <w:pStyle w:val="ListBullet"/>
        <w:spacing w:before="20" w:after="40"/>
      </w:pPr>
      <w:r>
        <w:rPr>
          <w:rFonts w:ascii="Calibri" w:hAnsi="Calibri"/>
          <w:b w:val="0"/>
          <w:color w:val="2B2B2B"/>
          <w:sz w:val="19"/>
        </w:rPr>
        <w:t>Material misclassification surfaced during close (SOP 17): corrected by Adjusting JE (SOP 18); root cause addressed in next training cycle.</w:t>
      </w:r>
    </w:p>
    <w:p>
      <w:pPr>
        <w:pStyle w:val="ListBullet"/>
        <w:spacing w:before="20" w:after="40"/>
      </w:pPr>
      <w:r>
        <w:rPr>
          <w:rFonts w:ascii="Calibri" w:hAnsi="Calibri"/>
          <w:b w:val="0"/>
          <w:color w:val="2B2B2B"/>
          <w:sz w:val="19"/>
        </w:rPr>
        <w:t>Ambiguous transaction posted without consultation: surfaced by Accounting; the Operations lead is debriefed.</w:t>
      </w:r>
    </w:p>
    <w:p>
      <w:pPr>
        <w:pStyle w:val="ListBullet"/>
        <w:spacing w:before="20" w:after="40"/>
      </w:pPr>
      <w:r>
        <w:rPr>
          <w:rFonts w:ascii="Calibri" w:hAnsi="Calibri"/>
          <w:b w:val="0"/>
          <w:color w:val="2B2B2B"/>
          <w:sz w:val="19"/>
        </w:rPr>
        <w:t>Cannabis CPA recommends 280E reclassification: handled as a material change with Owner approval and a documented memo on the rationale.</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Document Retention &amp; Records Management</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16 — Document Retention &amp; Records Management</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 (policy) / Accounting (administration)</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retains, organizes, secures, and ultimately disposes of business records. Disciplined retention supports state cannabis regulator inspection-readiness, audit-readiness, and the legal/tax requirements that apply to a cannabis operator.</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all Company business records — operational, accounting, payroll, tax, HR, cannabis-compliance, banking, contracts, and governance. It governs both digital records in document management system and any physical records still held.</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Retention Schedule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table that defines, for each record category, how long the record is retained and where.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System of Record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authoritative location for a given record category. Document management system is the system of record for Company accounting and document records.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Disposition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end-of-retention action — secure destruction, archival, or transfer.</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Litigation Hold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documented suspension of routine disposition triggered by anticipated or active litigation, audit, or investigation.</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Owns the Retention Schedule; reviews annually; approves dispositions and litigation holds with Owner.</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Administers document management system structure; ensures records flow to the correct locations; executes scheduled disposition.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Operations Leads</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Provide operational records (inventory, POS, business) to the system of record on the prescribed cadence.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dispositions and litigation holds; approves any deviation from the Retention Schedule.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Counsel</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Issues litigation holds; advises on retention periods tied to legal claims.</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Capture &amp; Filing</w:t>
      </w:r>
    </w:p>
    <w:p>
      <w:pPr>
        <w:pStyle w:val="ListBullet"/>
        <w:spacing w:before="20" w:after="40"/>
      </w:pPr>
      <w:r>
        <w:rPr>
          <w:rFonts w:ascii="Calibri" w:hAnsi="Calibri"/>
          <w:b w:val="0"/>
          <w:color w:val="2B2B2B"/>
          <w:sz w:val="19"/>
        </w:rPr>
        <w:t>Every record is filed to its designated location in document management system within the cadence specified in the Retention Schedule (typically same-business-day for operational records; within close cycle for accounting records).</w:t>
      </w:r>
    </w:p>
    <w:p>
      <w:pPr>
        <w:pStyle w:val="ListBullet"/>
        <w:spacing w:before="20" w:after="40"/>
      </w:pPr>
      <w:r>
        <w:rPr>
          <w:rFonts w:ascii="Calibri" w:hAnsi="Calibri"/>
          <w:b w:val="0"/>
          <w:color w:val="2B2B2B"/>
          <w:sz w:val="19"/>
        </w:rPr>
        <w:t>Naming conventions follow document management system Naming Standard; metadata (category, date, source) is applied at capture.</w:t>
      </w:r>
    </w:p>
    <w:p>
      <w:pPr>
        <w:pStyle w:val="ListBullet"/>
        <w:spacing w:before="20" w:after="40"/>
      </w:pPr>
      <w:r>
        <w:rPr>
          <w:rFonts w:ascii="Calibri" w:hAnsi="Calibri"/>
          <w:b w:val="0"/>
          <w:color w:val="2B2B2B"/>
          <w:sz w:val="19"/>
        </w:rPr>
        <w:t>Physical records (if any) are scanned to document management system and the physical original is retained for the period required by the source's regulatory or operational rule.</w:t>
      </w:r>
    </w:p>
    <w:p>
      <w:pPr>
        <w:spacing w:before="120" w:after="60"/>
      </w:pPr>
      <w:r>
        <w:rPr>
          <w:rFonts w:ascii="Calibri" w:hAnsi="Calibri"/>
          <w:b/>
          <w:color w:val="5A2A4D"/>
          <w:sz w:val="20"/>
        </w:rPr>
        <w:t>B. Access &amp; Security</w:t>
      </w:r>
    </w:p>
    <w:p>
      <w:pPr>
        <w:pStyle w:val="ListBullet"/>
        <w:spacing w:before="20" w:after="40"/>
      </w:pPr>
      <w:r>
        <w:rPr>
          <w:rFonts w:ascii="Calibri" w:hAnsi="Calibri"/>
          <w:b w:val="0"/>
          <w:color w:val="2B2B2B"/>
          <w:sz w:val="19"/>
        </w:rPr>
        <w:t>Access is role-based: sensitive areas (payroll, HR, tax, banking) restricted to authorized roles; cross-reference SOP 19.</w:t>
      </w:r>
    </w:p>
    <w:p>
      <w:pPr>
        <w:pStyle w:val="ListBullet"/>
        <w:spacing w:before="20" w:after="40"/>
      </w:pPr>
      <w:r>
        <w:rPr>
          <w:rFonts w:ascii="Calibri" w:hAnsi="Calibri"/>
          <w:b w:val="0"/>
          <w:color w:val="2B2B2B"/>
          <w:sz w:val="19"/>
        </w:rPr>
        <w:t>Records are not duplicated to local drives or personal accounts; document management system is the system of record.</w:t>
      </w:r>
    </w:p>
    <w:p>
      <w:pPr>
        <w:spacing w:before="120" w:after="60"/>
      </w:pPr>
      <w:r>
        <w:rPr>
          <w:rFonts w:ascii="Calibri" w:hAnsi="Calibri"/>
          <w:b/>
          <w:color w:val="5A2A4D"/>
          <w:sz w:val="20"/>
        </w:rPr>
        <w:t>C. Retention</w:t>
      </w:r>
    </w:p>
    <w:p>
      <w:pPr>
        <w:pStyle w:val="ListBullet"/>
        <w:spacing w:before="20" w:after="40"/>
      </w:pPr>
      <w:r>
        <w:rPr>
          <w:rFonts w:ascii="Calibri" w:hAnsi="Calibri"/>
          <w:b w:val="0"/>
          <w:color w:val="2B2B2B"/>
          <w:sz w:val="19"/>
        </w:rPr>
        <w:t>Each record category is retained for the period in the Retention Schedule, which reflects: applicable state cannabis regulations (cannabis), IRS (tax/financial — typically min. 7 years), applicable state tax, employment law, HIPAA-equivalents (if applicable), and operational best practice.</w:t>
      </w:r>
    </w:p>
    <w:p>
      <w:pPr>
        <w:pStyle w:val="ListBullet"/>
        <w:spacing w:before="20" w:after="40"/>
      </w:pPr>
      <w:r>
        <w:rPr>
          <w:rFonts w:ascii="Calibri" w:hAnsi="Calibri"/>
          <w:b w:val="0"/>
          <w:color w:val="2B2B2B"/>
          <w:sz w:val="19"/>
        </w:rPr>
        <w:t>Cannabis-compliance records (track-and-trace system, manifests, badges, inventory counts) are available to state cannabis regulator on request and during inspection.</w:t>
      </w:r>
    </w:p>
    <w:p>
      <w:pPr>
        <w:spacing w:before="120" w:after="60"/>
      </w:pPr>
      <w:r>
        <w:rPr>
          <w:rFonts w:ascii="Calibri" w:hAnsi="Calibri"/>
          <w:b/>
          <w:color w:val="5A2A4D"/>
          <w:sz w:val="20"/>
        </w:rPr>
        <w:t>D. Disposition</w:t>
      </w:r>
    </w:p>
    <w:p>
      <w:pPr>
        <w:pStyle w:val="ListBullet"/>
        <w:spacing w:before="20" w:after="40"/>
      </w:pPr>
      <w:r>
        <w:rPr>
          <w:rFonts w:ascii="Calibri" w:hAnsi="Calibri"/>
          <w:b w:val="0"/>
          <w:color w:val="2B2B2B"/>
          <w:sz w:val="19"/>
        </w:rPr>
        <w:t>At end-of-retention, Accounting prepares a Disposition List; Controller reviews; Owner approves.</w:t>
      </w:r>
    </w:p>
    <w:p>
      <w:pPr>
        <w:pStyle w:val="ListBullet"/>
        <w:spacing w:before="20" w:after="40"/>
      </w:pPr>
      <w:r>
        <w:rPr>
          <w:rFonts w:ascii="Calibri" w:hAnsi="Calibri"/>
          <w:b w:val="0"/>
          <w:color w:val="2B2B2B"/>
          <w:sz w:val="19"/>
        </w:rPr>
        <w:t>Approved digital records are securely deleted; physical records are shredded; the Disposition Log records what was disposed, by whom, and on what date.</w:t>
      </w:r>
    </w:p>
    <w:p>
      <w:pPr>
        <w:pStyle w:val="ListBullet"/>
        <w:spacing w:before="20" w:after="40"/>
      </w:pPr>
      <w:r>
        <w:rPr>
          <w:rFonts w:ascii="Calibri" w:hAnsi="Calibri"/>
          <w:b w:val="0"/>
          <w:color w:val="2B2B2B"/>
          <w:sz w:val="19"/>
        </w:rPr>
        <w:t>Cannabis records are not disposed without written counsel confirmation that no state cannabis regulator hold applies.</w:t>
      </w:r>
    </w:p>
    <w:p>
      <w:pPr>
        <w:spacing w:before="120" w:after="60"/>
      </w:pPr>
      <w:r>
        <w:rPr>
          <w:rFonts w:ascii="Calibri" w:hAnsi="Calibri"/>
          <w:b/>
          <w:color w:val="5A2A4D"/>
          <w:sz w:val="20"/>
        </w:rPr>
        <w:t>E. Litigation Hold</w:t>
      </w:r>
    </w:p>
    <w:p>
      <w:pPr>
        <w:pStyle w:val="ListBullet"/>
        <w:spacing w:before="20" w:after="40"/>
      </w:pPr>
      <w:r>
        <w:rPr>
          <w:rFonts w:ascii="Calibri" w:hAnsi="Calibri"/>
          <w:b w:val="0"/>
          <w:color w:val="2B2B2B"/>
          <w:sz w:val="19"/>
        </w:rPr>
        <w:t>If counsel issues a litigation hold, all matching records are exempted from routine disposition; the hold is documented and tracked by Controller.</w:t>
      </w:r>
    </w:p>
    <w:p>
      <w:pPr>
        <w:pStyle w:val="ListBullet"/>
        <w:spacing w:before="20" w:after="40"/>
      </w:pPr>
      <w:r>
        <w:rPr>
          <w:rFonts w:ascii="Calibri" w:hAnsi="Calibri"/>
          <w:b w:val="0"/>
          <w:color w:val="2B2B2B"/>
          <w:sz w:val="19"/>
        </w:rPr>
        <w:t>When the hold is lifted, normal retention and disposition resume.</w:t>
      </w:r>
    </w:p>
    <w:p>
      <w:pPr>
        <w:spacing w:before="120" w:after="80"/>
      </w:pPr>
      <w:r>
        <w:rPr>
          <w:rFonts w:ascii="Calibri" w:hAnsi="Calibri"/>
          <w:b w:val="0"/>
          <w:color w:val="707070"/>
          <w:sz w:val="17"/>
        </w:rPr>
        <w:t>Specific retention periods for each record category are listed in the Retention Schedule, a controlled document maintained separately. The defaults presented below are Controller recommendations pending counsel/CPA confirmation.</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Single Retention Schedule is the controlled source of truth.</w:t>
      </w:r>
    </w:p>
    <w:p>
      <w:pPr>
        <w:pStyle w:val="ListBullet"/>
        <w:spacing w:before="20" w:after="40"/>
      </w:pPr>
      <w:r>
        <w:rPr>
          <w:rFonts w:ascii="Calibri" w:hAnsi="Calibri"/>
          <w:b w:val="0"/>
          <w:color w:val="2B2B2B"/>
          <w:sz w:val="19"/>
        </w:rPr>
        <w:t>Document management system is the single system of record; no local duplicates.</w:t>
      </w:r>
    </w:p>
    <w:p>
      <w:pPr>
        <w:pStyle w:val="ListBullet"/>
        <w:spacing w:before="20" w:after="40"/>
      </w:pPr>
      <w:r>
        <w:rPr>
          <w:rFonts w:ascii="Calibri" w:hAnsi="Calibri"/>
          <w:b w:val="0"/>
          <w:color w:val="2B2B2B"/>
          <w:sz w:val="19"/>
        </w:rPr>
        <w:t>Role-based access (cross-reference SOP 19).</w:t>
      </w:r>
    </w:p>
    <w:p>
      <w:pPr>
        <w:pStyle w:val="ListBullet"/>
        <w:spacing w:before="20" w:after="40"/>
      </w:pPr>
      <w:r>
        <w:rPr>
          <w:rFonts w:ascii="Calibri" w:hAnsi="Calibri"/>
          <w:b w:val="0"/>
          <w:color w:val="2B2B2B"/>
          <w:sz w:val="19"/>
        </w:rPr>
        <w:t>Disposition requires Controller review and Owner approval.</w:t>
      </w:r>
    </w:p>
    <w:p>
      <w:pPr>
        <w:pStyle w:val="ListBullet"/>
        <w:spacing w:before="20" w:after="40"/>
      </w:pPr>
      <w:r>
        <w:rPr>
          <w:rFonts w:ascii="Calibri" w:hAnsi="Calibri"/>
          <w:b w:val="0"/>
          <w:color w:val="2B2B2B"/>
          <w:sz w:val="19"/>
        </w:rPr>
        <w:t>Cannabis records cannot be disposed without counsel confirmation.</w:t>
      </w:r>
    </w:p>
    <w:p>
      <w:pPr>
        <w:pStyle w:val="ListBullet"/>
        <w:spacing w:before="20" w:after="40"/>
      </w:pPr>
      <w:r>
        <w:rPr>
          <w:rFonts w:ascii="Calibri" w:hAnsi="Calibri"/>
          <w:b w:val="0"/>
          <w:color w:val="2B2B2B"/>
          <w:sz w:val="19"/>
        </w:rPr>
        <w:t>Disposition Log retained for audit trail.</w:t>
      </w:r>
    </w:p>
    <w:p>
      <w:pPr>
        <w:pStyle w:val="ListBullet"/>
        <w:spacing w:before="20" w:after="40"/>
      </w:pPr>
      <w:r>
        <w:rPr>
          <w:rFonts w:ascii="Calibri" w:hAnsi="Calibri"/>
          <w:b w:val="0"/>
          <w:color w:val="2B2B2B"/>
          <w:sz w:val="19"/>
        </w:rPr>
        <w:t>Litigation hold procedure documented and tracked.</w:t>
      </w:r>
    </w:p>
    <w:p>
      <w:pPr>
        <w:pStyle w:val="ListBullet"/>
        <w:spacing w:before="20" w:after="40"/>
      </w:pPr>
      <w:r>
        <w:rPr>
          <w:rFonts w:ascii="Calibri" w:hAnsi="Calibri"/>
          <w:b w:val="0"/>
          <w:color w:val="2B2B2B"/>
          <w:sz w:val="19"/>
        </w:rPr>
        <w:t>Annual review of the Retention Schedule by Controller with counsel/CPA input.</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Retention periods are influenced by multiple regimes: applicable state cannabis regulations, Subtitle 17 (cannabis compliance); IRS (federal tax — typically min. 7 years); applicable state Comptroller (state tax); IRS employment-tax rules; employment-records rules; and contract-specific obligations. The Retention Schedule references each category to its source authority — confirm specific periods with counsel/CPA.</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cannabis regulations — cannabis compliance records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Track-and-trace system records, manifests, inventory counts, badges, and security records retained per state regulator guidance — confirm specific periods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IRS — financial and tax records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Generally min. 7 years; longer for fixed-asset records and any disputed item.</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Applicable state Comptroller — state tax records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 confirm specific periods with CPA.</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IRS employment-tax records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4 years from due-date or payment-date, whichever is later.</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Employment records (federal/state)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Vary by record type; confirm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Single system of record (document management system)</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Reduces duplication risk; supports access control.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 / Owner approval on disposition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Authorizing control on record destruction.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Litigation hold procedure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Prevents inadvertent destruction during litigation.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Retention Schedule (controlled document)</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03_Retention Schedule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business; superseded versions retained 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Disposition Log</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03_Retention Schedule / Dispositions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Litigation Hold Notices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04_Litigation Holds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business; counsel-confirmed 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Annual Retention Schedule Review memos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03_Retention Schedule / Annual Reviews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Record not filed to document management system within the prescribed cadence: identified by Controller or in the close package; root cause addressed.</w:t>
      </w:r>
    </w:p>
    <w:p>
      <w:pPr>
        <w:pStyle w:val="ListBullet"/>
        <w:spacing w:before="20" w:after="40"/>
      </w:pPr>
      <w:r>
        <w:rPr>
          <w:rFonts w:ascii="Calibri" w:hAnsi="Calibri"/>
          <w:b w:val="0"/>
          <w:color w:val="2B2B2B"/>
          <w:sz w:val="19"/>
        </w:rPr>
        <w:t>Local copy of a sensitive record discovered: secured and removed to document management system; the gap is documented; cross-reference SOP 19.</w:t>
      </w:r>
    </w:p>
    <w:p>
      <w:pPr>
        <w:pStyle w:val="ListBullet"/>
        <w:spacing w:before="20" w:after="40"/>
      </w:pPr>
      <w:r>
        <w:rPr>
          <w:rFonts w:ascii="Calibri" w:hAnsi="Calibri"/>
          <w:b w:val="0"/>
          <w:color w:val="2B2B2B"/>
          <w:sz w:val="19"/>
        </w:rPr>
        <w:t>Disposition performed without approval: documented as a controls exception; remediation tracked.</w:t>
      </w:r>
    </w:p>
    <w:p>
      <w:pPr>
        <w:pStyle w:val="ListBullet"/>
        <w:spacing w:before="20" w:after="40"/>
      </w:pPr>
      <w:r>
        <w:rPr>
          <w:rFonts w:ascii="Calibri" w:hAnsi="Calibri"/>
          <w:b w:val="0"/>
          <w:color w:val="2B2B2B"/>
          <w:sz w:val="19"/>
        </w:rPr>
        <w:t>Litigation hold issued: routine disposition suspended for all matching records; Controller confirms compliance with all departments.</w:t>
      </w:r>
    </w:p>
    <w:p>
      <w:pPr>
        <w:pStyle w:val="ListBullet"/>
        <w:spacing w:before="20" w:after="40"/>
      </w:pPr>
      <w:r>
        <w:rPr>
          <w:rFonts w:ascii="Calibri" w:hAnsi="Calibri"/>
          <w:b w:val="0"/>
          <w:color w:val="2B2B2B"/>
          <w:sz w:val="19"/>
        </w:rPr>
        <w:t>Suspected unauthorized access or exfiltration: escalated to Owner, Controller, and counsel the same business day; cross-reference SOP 19.</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Monthly Close Process</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17 — Monthly Close Process</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Accounting (Bookkeeper / In-House Lead) with Controller oversight</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the standardized, recurring monthly close for the Company, producing a complete, accurate, and reviewed set of financial records each month. A disciplined close supports ownership decisions, tax positions under 280E, and audit-readiness in a cash-intensive cannabis environment.</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the monthly close in QuickBooks Online and to the supporting workpapers in document management system. It governs the sequencing of close tasks, the review controls, and the production of the close package for management and Controller review.</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Close Calendar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schedule of close tasks by day, with owners and dependencies, targeting a defined business-day close.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Close Package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set of financial statements, reconciliations, schedules, and narrative commentary produced each month for management and Controller.</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Soft Close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An interim close performed mid-month or for quick reporting without all controls completed.</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Hard Close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full monthly close with all reconciliations, accruals, and reviews complete.</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 (Bookkeeper / In-House Lead)</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Owns the day-by-day execution of the close calendar; performs reconciliations, accruals, and posts adjusting JEs; prepares the close package.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Reviews the close package and signs off; provides direction on operational decisions surfaced by the close (cash, AR/AP, capex).</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Performs independent review of reconciliations and the close package; approves significant JEs (SOP 18); attests to the close per SOP 20.</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Operations leads (Business, Inventory)</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Provide operational data — daily sales summaries, inventory counts, payroll approvals — by the close-calendar deadlines.</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Pre-Close (Business Days -3 to 0)</w:t>
      </w:r>
    </w:p>
    <w:p>
      <w:pPr>
        <w:pStyle w:val="ListBullet"/>
        <w:spacing w:before="20" w:after="40"/>
      </w:pPr>
      <w:r>
        <w:rPr>
          <w:rFonts w:ascii="Calibri" w:hAnsi="Calibri"/>
          <w:b w:val="0"/>
          <w:color w:val="2B2B2B"/>
          <w:sz w:val="19"/>
        </w:rPr>
        <w:t>Accounting confirms the close calendar with all owners and confirms data deadlines: daily sales summaries (SOP 03), payroll approvals (SOP 09), inventory counts (SOP 11), and waste/adjustment logs (SOP 13).</w:t>
      </w:r>
    </w:p>
    <w:p>
      <w:pPr>
        <w:pStyle w:val="ListBullet"/>
        <w:spacing w:before="20" w:after="40"/>
      </w:pPr>
      <w:r>
        <w:rPr>
          <w:rFonts w:ascii="Calibri" w:hAnsi="Calibri"/>
          <w:b w:val="0"/>
          <w:color w:val="2B2B2B"/>
          <w:sz w:val="19"/>
        </w:rPr>
        <w:t>Open AP is finalized for the month (SOP 05); the AP cut-off is enforced.</w:t>
      </w:r>
    </w:p>
    <w:p>
      <w:pPr>
        <w:pStyle w:val="ListBullet"/>
        <w:spacing w:before="20" w:after="40"/>
      </w:pPr>
      <w:r>
        <w:rPr>
          <w:rFonts w:ascii="Calibri" w:hAnsi="Calibri"/>
          <w:b w:val="0"/>
          <w:color w:val="2B2B2B"/>
          <w:sz w:val="19"/>
        </w:rPr>
        <w:t>Bank cut-off is confirmed; statements pulled for prior-month banking.</w:t>
      </w:r>
    </w:p>
    <w:p>
      <w:pPr>
        <w:spacing w:before="120" w:after="60"/>
      </w:pPr>
      <w:r>
        <w:rPr>
          <w:rFonts w:ascii="Calibri" w:hAnsi="Calibri"/>
          <w:b/>
          <w:color w:val="5A2A4D"/>
          <w:sz w:val="20"/>
        </w:rPr>
        <w:t>B. Days 1–3 — Cash, Sales, and Inventory</w:t>
      </w:r>
    </w:p>
    <w:p>
      <w:pPr>
        <w:pStyle w:val="ListBullet"/>
        <w:spacing w:before="20" w:after="40"/>
      </w:pPr>
      <w:r>
        <w:rPr>
          <w:rFonts w:ascii="Calibri" w:hAnsi="Calibri"/>
          <w:b w:val="0"/>
          <w:color w:val="2B2B2B"/>
          <w:sz w:val="19"/>
        </w:rPr>
        <w:t>Bank reconciliations completed for all accounts (SOP 10).</w:t>
      </w:r>
    </w:p>
    <w:p>
      <w:pPr>
        <w:pStyle w:val="ListBullet"/>
        <w:spacing w:before="20" w:after="40"/>
      </w:pPr>
      <w:r>
        <w:rPr>
          <w:rFonts w:ascii="Calibri" w:hAnsi="Calibri"/>
          <w:b w:val="0"/>
          <w:color w:val="2B2B2B"/>
          <w:sz w:val="19"/>
        </w:rPr>
        <w:t>Sales reconciled to POS system, to payment processor reports, and to cash deposits (SOP 03).</w:t>
      </w:r>
    </w:p>
    <w:p>
      <w:pPr>
        <w:pStyle w:val="ListBullet"/>
        <w:spacing w:before="20" w:after="40"/>
      </w:pPr>
      <w:r>
        <w:rPr>
          <w:rFonts w:ascii="Calibri" w:hAnsi="Calibri"/>
          <w:b w:val="0"/>
          <w:color w:val="2B2B2B"/>
          <w:sz w:val="19"/>
        </w:rPr>
        <w:t>Inventory roll-forward completed: beginning inventory + receipts − sales − waste = ending inventory, reconciled to track-and-trace system and POS system (SOPs 11, 12, 13).</w:t>
      </w:r>
    </w:p>
    <w:p>
      <w:pPr>
        <w:spacing w:before="120" w:after="60"/>
      </w:pPr>
      <w:r>
        <w:rPr>
          <w:rFonts w:ascii="Calibri" w:hAnsi="Calibri"/>
          <w:b/>
          <w:color w:val="5A2A4D"/>
          <w:sz w:val="20"/>
        </w:rPr>
        <w:t>C. Days 3–5 — Accruals, Payroll, and Adjustments</w:t>
      </w:r>
    </w:p>
    <w:p>
      <w:pPr>
        <w:pStyle w:val="ListBullet"/>
        <w:spacing w:before="20" w:after="40"/>
      </w:pPr>
      <w:r>
        <w:rPr>
          <w:rFonts w:ascii="Calibri" w:hAnsi="Calibri"/>
          <w:b w:val="0"/>
          <w:color w:val="2B2B2B"/>
          <w:sz w:val="19"/>
        </w:rPr>
        <w:t>Recurring accruals posted (rent, utilities, professional fees, payroll if applicable).</w:t>
      </w:r>
    </w:p>
    <w:p>
      <w:pPr>
        <w:pStyle w:val="ListBullet"/>
        <w:spacing w:before="20" w:after="40"/>
      </w:pPr>
      <w:r>
        <w:rPr>
          <w:rFonts w:ascii="Calibri" w:hAnsi="Calibri"/>
          <w:b w:val="0"/>
          <w:color w:val="2B2B2B"/>
          <w:sz w:val="19"/>
        </w:rPr>
        <w:t>Payroll JE posted (SOP 09); employer-side tax and benefit accruals confirmed.</w:t>
      </w:r>
    </w:p>
    <w:p>
      <w:pPr>
        <w:pStyle w:val="ListBullet"/>
        <w:spacing w:before="20" w:after="40"/>
      </w:pPr>
      <w:r>
        <w:rPr>
          <w:rFonts w:ascii="Calibri" w:hAnsi="Calibri"/>
          <w:b w:val="0"/>
          <w:color w:val="2B2B2B"/>
          <w:sz w:val="19"/>
        </w:rPr>
        <w:t>Prepaids amortized, depreciation posted per the fixed-asset schedule, deferred items reviewed.</w:t>
      </w:r>
    </w:p>
    <w:p>
      <w:pPr>
        <w:pStyle w:val="ListBullet"/>
        <w:spacing w:before="20" w:after="40"/>
      </w:pPr>
      <w:r>
        <w:rPr>
          <w:rFonts w:ascii="Calibri" w:hAnsi="Calibri"/>
          <w:b w:val="0"/>
          <w:color w:val="2B2B2B"/>
          <w:sz w:val="19"/>
        </w:rPr>
        <w:t>Adjusting JEs prepared and approved per SOP 18.</w:t>
      </w:r>
    </w:p>
    <w:p>
      <w:pPr>
        <w:spacing w:before="120" w:after="60"/>
      </w:pPr>
      <w:r>
        <w:rPr>
          <w:rFonts w:ascii="Calibri" w:hAnsi="Calibri"/>
          <w:b/>
          <w:color w:val="5A2A4D"/>
          <w:sz w:val="20"/>
        </w:rPr>
        <w:t>D. Days 5–7 — Review and Package</w:t>
      </w:r>
    </w:p>
    <w:p>
      <w:pPr>
        <w:pStyle w:val="ListBullet"/>
        <w:spacing w:before="20" w:after="40"/>
      </w:pPr>
      <w:r>
        <w:rPr>
          <w:rFonts w:ascii="Calibri" w:hAnsi="Calibri"/>
          <w:b w:val="0"/>
          <w:color w:val="2B2B2B"/>
          <w:sz w:val="19"/>
        </w:rPr>
        <w:t>Accounting prepares the close package: Balance Sheet, P&amp;L (current month, YTD, vs. budget if applicable), Statement of Cash Flows, key reconciliations, AR / AP aging, inventory roll-forward, payroll summary, and a one-page narrative.</w:t>
      </w:r>
    </w:p>
    <w:p>
      <w:pPr>
        <w:pStyle w:val="ListBullet"/>
        <w:spacing w:before="20" w:after="40"/>
      </w:pPr>
      <w:r>
        <w:rPr>
          <w:rFonts w:ascii="Calibri" w:hAnsi="Calibri"/>
          <w:b w:val="0"/>
          <w:color w:val="2B2B2B"/>
          <w:sz w:val="19"/>
        </w:rPr>
        <w:t>Controller performs independent review and surfaces follow-ups; the period is closed in QBO once review is complete.</w:t>
      </w:r>
    </w:p>
    <w:p>
      <w:pPr>
        <w:pStyle w:val="ListBullet"/>
        <w:spacing w:before="20" w:after="40"/>
      </w:pPr>
      <w:r>
        <w:rPr>
          <w:rFonts w:ascii="Calibri" w:hAnsi="Calibri"/>
          <w:b w:val="0"/>
          <w:color w:val="2B2B2B"/>
          <w:sz w:val="19"/>
        </w:rPr>
        <w:t>The close package is delivered to Owner; a debrief is scheduled if issues warrant.</w:t>
      </w:r>
    </w:p>
    <w:p>
      <w:pPr>
        <w:spacing w:before="120" w:after="60"/>
      </w:pPr>
      <w:r>
        <w:rPr>
          <w:rFonts w:ascii="Calibri" w:hAnsi="Calibri"/>
          <w:b/>
          <w:color w:val="5A2A4D"/>
          <w:sz w:val="20"/>
        </w:rPr>
        <w:t>E. Post-Close</w:t>
      </w:r>
    </w:p>
    <w:p>
      <w:pPr>
        <w:pStyle w:val="ListBullet"/>
        <w:spacing w:before="20" w:after="40"/>
      </w:pPr>
      <w:r>
        <w:rPr>
          <w:rFonts w:ascii="Calibri" w:hAnsi="Calibri"/>
          <w:b w:val="0"/>
          <w:color w:val="2B2B2B"/>
          <w:sz w:val="19"/>
        </w:rPr>
        <w:t>The close package and underlying workpapers are filed to document management system (12_Reporting / 02_Monthly Close); follow-ups are tracked to the next close.</w:t>
      </w:r>
    </w:p>
    <w:p>
      <w:pPr>
        <w:pStyle w:val="ListBullet"/>
        <w:spacing w:before="20" w:after="40"/>
      </w:pPr>
      <w:r>
        <w:rPr>
          <w:rFonts w:ascii="Calibri" w:hAnsi="Calibri"/>
          <w:b w:val="0"/>
          <w:color w:val="2B2B2B"/>
          <w:sz w:val="19"/>
        </w:rPr>
        <w:t>Accounting locks the period in QBO; later changes require an Adjusting JE (SOP 18) with documented reason.</w:t>
      </w:r>
    </w:p>
    <w:p>
      <w:pPr>
        <w:spacing w:before="120" w:after="80"/>
      </w:pPr>
      <w:r>
        <w:rPr>
          <w:rFonts w:ascii="Calibri" w:hAnsi="Calibri"/>
          <w:b w:val="0"/>
          <w:color w:val="707070"/>
          <w:sz w:val="17"/>
        </w:rPr>
        <w:t>Target close timing (e.g., business day 7), accrual policies, and the precise contents of the close package are management decisions. Controller proposes initial defaults during implementation.</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Close calendar with owners and deadlines, published before the period begins.</w:t>
      </w:r>
    </w:p>
    <w:p>
      <w:pPr>
        <w:pStyle w:val="ListBullet"/>
        <w:spacing w:before="20" w:after="40"/>
      </w:pPr>
      <w:r>
        <w:rPr>
          <w:rFonts w:ascii="Calibri" w:hAnsi="Calibri"/>
          <w:b w:val="0"/>
          <w:color w:val="2B2B2B"/>
          <w:sz w:val="19"/>
        </w:rPr>
        <w:t>Cut-off discipline at AP, cash, and inventory.</w:t>
      </w:r>
    </w:p>
    <w:p>
      <w:pPr>
        <w:pStyle w:val="ListBullet"/>
        <w:spacing w:before="20" w:after="40"/>
      </w:pPr>
      <w:r>
        <w:rPr>
          <w:rFonts w:ascii="Calibri" w:hAnsi="Calibri"/>
          <w:b w:val="0"/>
          <w:color w:val="2B2B2B"/>
          <w:sz w:val="19"/>
        </w:rPr>
        <w:t>Independent reconciliations for every cash account (SOP 10).</w:t>
      </w:r>
    </w:p>
    <w:p>
      <w:pPr>
        <w:pStyle w:val="ListBullet"/>
        <w:spacing w:before="20" w:after="40"/>
      </w:pPr>
      <w:r>
        <w:rPr>
          <w:rFonts w:ascii="Calibri" w:hAnsi="Calibri"/>
          <w:b w:val="0"/>
          <w:color w:val="2B2B2B"/>
          <w:sz w:val="19"/>
        </w:rPr>
        <w:t>Adjusting JEs prepared by one person and approved by another (SOP 18).</w:t>
      </w:r>
    </w:p>
    <w:p>
      <w:pPr>
        <w:pStyle w:val="ListBullet"/>
        <w:spacing w:before="20" w:after="40"/>
      </w:pPr>
      <w:r>
        <w:rPr>
          <w:rFonts w:ascii="Calibri" w:hAnsi="Calibri"/>
          <w:b w:val="0"/>
          <w:color w:val="2B2B2B"/>
          <w:sz w:val="19"/>
        </w:rPr>
        <w:t>Controller independent review before period close in QBO.</w:t>
      </w:r>
    </w:p>
    <w:p>
      <w:pPr>
        <w:pStyle w:val="ListBullet"/>
        <w:spacing w:before="20" w:after="40"/>
      </w:pPr>
      <w:r>
        <w:rPr>
          <w:rFonts w:ascii="Calibri" w:hAnsi="Calibri"/>
          <w:b w:val="0"/>
          <w:color w:val="2B2B2B"/>
          <w:sz w:val="19"/>
        </w:rPr>
        <w:t>Period locked in QBO once closed; later changes require documented Adjusting JE.</w:t>
      </w:r>
    </w:p>
    <w:p>
      <w:pPr>
        <w:pStyle w:val="ListBullet"/>
        <w:spacing w:before="20" w:after="40"/>
      </w:pPr>
      <w:r>
        <w:rPr>
          <w:rFonts w:ascii="Calibri" w:hAnsi="Calibri"/>
          <w:b w:val="0"/>
          <w:color w:val="2B2B2B"/>
          <w:sz w:val="19"/>
        </w:rPr>
        <w:t>Follow-up log tracks issues forward to next close.</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Applicable state regulations do not prescribe a monthly close process; this SOP is accounting best practice. Inventory close mechanics intersect with the state-mandated monthly physical count and track-and-trace system reconciliation (SOP 11). 280E classification carries through the close — confirm with the cannabis CPA.</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close to GAAP-aligned standards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Produce a complete, reviewed financial record each month.</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Inventory close reconciled to state-mandated monthly physical count</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Cross-reference SOP 11; close cannot finalize until inventory reconciled.</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Cut-off discipline at AP, cash, and inventory</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Cut-off control supports period accuracy.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Independent reconciliations for all cash accounts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Detects errors and mis-postings.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Adjusting JEs preparer / approver separation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Cross-reference SOP 18.</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 independent close 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Independent review before period close.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Period lock and Adjusting JE for later changes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Audit-trail control on period integrity.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280E coding carried through close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Confirm cannabis CPA's classification of COGS vs. operating monthly.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Close calendar (per month)</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12_Reporting / 02_Monthly Close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Close package (financial statements + workpapers)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12_Reporting / 02_Monthly Close</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Reconciliations (bank, AP, inventory, payroll)</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Cross-referenced to SOPs 10, 05, 11, 09</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Adjusting JEs with approvals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02_Journal Entries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Follow-up log</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12_Reporting / 02_Monthly Close / Follow-ups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Rolling; archived annually</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Missed close calendar deadline: documented in the follow-up log; root cause addressed before next close.</w:t>
      </w:r>
    </w:p>
    <w:p>
      <w:pPr>
        <w:pStyle w:val="ListBullet"/>
        <w:spacing w:before="20" w:after="40"/>
      </w:pPr>
      <w:r>
        <w:rPr>
          <w:rFonts w:ascii="Calibri" w:hAnsi="Calibri"/>
          <w:b w:val="0"/>
          <w:color w:val="2B2B2B"/>
          <w:sz w:val="19"/>
        </w:rPr>
        <w:t>Reconciliation that does not balance: investigated before period close; if unresolved, an Adjusting JE is posted with documented rationale and a follow-up is opened.</w:t>
      </w:r>
    </w:p>
    <w:p>
      <w:pPr>
        <w:pStyle w:val="ListBullet"/>
        <w:spacing w:before="20" w:after="40"/>
      </w:pPr>
      <w:r>
        <w:rPr>
          <w:rFonts w:ascii="Calibri" w:hAnsi="Calibri"/>
          <w:b w:val="0"/>
          <w:color w:val="2B2B2B"/>
          <w:sz w:val="19"/>
        </w:rPr>
        <w:t>Material variance or unusual transaction: surfaced in the close narrative; Owner debrief scheduled.</w:t>
      </w:r>
    </w:p>
    <w:p>
      <w:pPr>
        <w:pStyle w:val="ListBullet"/>
        <w:spacing w:before="20" w:after="40"/>
      </w:pPr>
      <w:r>
        <w:rPr>
          <w:rFonts w:ascii="Calibri" w:hAnsi="Calibri"/>
          <w:b w:val="0"/>
          <w:color w:val="2B2B2B"/>
          <w:sz w:val="19"/>
        </w:rPr>
        <w:t>Post-close adjustment: documented as an Adjusting JE per SOP 18; pattern post-close adjustments are escalated to Controller.</w:t>
      </w:r>
    </w:p>
    <w:p>
      <w:pPr>
        <w:pStyle w:val="ListBullet"/>
        <w:spacing w:before="20" w:after="40"/>
      </w:pPr>
      <w:r>
        <w:rPr>
          <w:rFonts w:ascii="Calibri" w:hAnsi="Calibri"/>
          <w:b w:val="0"/>
          <w:color w:val="2B2B2B"/>
          <w:sz w:val="19"/>
        </w:rPr>
        <w:t>Suspected misstatement: period close held pending investigation; Owner and Controller notified the same business day.</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Journal Entries &amp; Manual Adjustments</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18 — Journal Entries &amp; Manual Adjustments</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Accounting (Bookkeeper / In-House Lead) with Controller approval</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prepares, approves, posts, and documents manual journal entries (JEs) and adjustments in QuickBooks Online. Disciplined JE controls protect the integrity of the general ledger and create the audit trail expected of a cannabis operator subject to 280E and state cannabis regulator scrutiny.</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every JE that is not generated automatically by an approved subledger workflow (sales receipt, vendor bill, payroll posting). It covers accruals, prepaid amortizations, depreciation, inventory adjustments, reclassifications, error corrections, and any other manual GL entry.</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Journal Entry (JE)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direct GL posting with debits, credits, account coding, period, and a documented business purpose.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Recurring JE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JE posted on a defined cadence (monthly accruals, depreciation) using a template.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Adjusting JE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non-recurring JE posted to correct an error or true up an estimate.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Reclassification JE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JE that moves a balance between accounts without changing net financial position.</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 (Preparer)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Prepares the JE with debits, credits, period, account coding, and supporting documentation.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 (Approver)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JEs above a defined threshold and all Adjusting JEs; reviews patterns of manual entries.</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JEs that materially affect equity, distributions, or compensation.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Cannabis CPA</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JEs touching 280E classification or tax position.</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Preparation</w:t>
      </w:r>
    </w:p>
    <w:p>
      <w:pPr>
        <w:pStyle w:val="ListBullet"/>
        <w:spacing w:before="20" w:after="40"/>
      </w:pPr>
      <w:r>
        <w:rPr>
          <w:rFonts w:ascii="Calibri" w:hAnsi="Calibri"/>
          <w:b w:val="0"/>
          <w:color w:val="2B2B2B"/>
          <w:sz w:val="19"/>
        </w:rPr>
        <w:t>Preparer drafts the JE in QBO with: period, accounts, debit and credit amounts, line-level memo, and a header memo with business purpose.</w:t>
      </w:r>
    </w:p>
    <w:p>
      <w:pPr>
        <w:pStyle w:val="ListBullet"/>
        <w:spacing w:before="20" w:after="40"/>
      </w:pPr>
      <w:r>
        <w:rPr>
          <w:rFonts w:ascii="Calibri" w:hAnsi="Calibri"/>
          <w:b w:val="0"/>
          <w:color w:val="2B2B2B"/>
          <w:sz w:val="19"/>
        </w:rPr>
        <w:t>Supporting documentation (calculation, invoice, schedule, memo) is attached to the JE record in QBO or in document management system with a cross-reference.</w:t>
      </w:r>
    </w:p>
    <w:p>
      <w:pPr>
        <w:pStyle w:val="ListBullet"/>
        <w:spacing w:before="20" w:after="40"/>
      </w:pPr>
      <w:r>
        <w:rPr>
          <w:rFonts w:ascii="Calibri" w:hAnsi="Calibri"/>
          <w:b w:val="0"/>
          <w:color w:val="2B2B2B"/>
          <w:sz w:val="19"/>
        </w:rPr>
        <w:t>Recurring JEs use the documented template; the template is updated only with Controller approval.</w:t>
      </w:r>
    </w:p>
    <w:p>
      <w:pPr>
        <w:spacing w:before="120" w:after="60"/>
      </w:pPr>
      <w:r>
        <w:rPr>
          <w:rFonts w:ascii="Calibri" w:hAnsi="Calibri"/>
          <w:b/>
          <w:color w:val="5A2A4D"/>
          <w:sz w:val="20"/>
        </w:rPr>
        <w:t>B. Approval</w:t>
      </w:r>
    </w:p>
    <w:p>
      <w:pPr>
        <w:pStyle w:val="ListBullet"/>
        <w:spacing w:before="20" w:after="40"/>
      </w:pPr>
      <w:r>
        <w:rPr>
          <w:rFonts w:ascii="Calibri" w:hAnsi="Calibri"/>
          <w:b w:val="0"/>
          <w:color w:val="2B2B2B"/>
          <w:sz w:val="19"/>
        </w:rPr>
        <w:t>JEs below a defined threshold and within a defined category may be self-approved by Preparer (recurring accruals, standard depreciation).</w:t>
      </w:r>
    </w:p>
    <w:p>
      <w:pPr>
        <w:pStyle w:val="ListBullet"/>
        <w:spacing w:before="20" w:after="40"/>
      </w:pPr>
      <w:r>
        <w:rPr>
          <w:rFonts w:ascii="Calibri" w:hAnsi="Calibri"/>
          <w:b w:val="0"/>
          <w:color w:val="2B2B2B"/>
          <w:sz w:val="19"/>
        </w:rPr>
        <w:t>JEs above the threshold, all Adjusting JEs, and all reclassifications require Controller approval before posting.</w:t>
      </w:r>
    </w:p>
    <w:p>
      <w:pPr>
        <w:pStyle w:val="ListBullet"/>
        <w:spacing w:before="20" w:after="40"/>
      </w:pPr>
      <w:r>
        <w:rPr>
          <w:rFonts w:ascii="Calibri" w:hAnsi="Calibri"/>
          <w:b w:val="0"/>
          <w:color w:val="2B2B2B"/>
          <w:sz w:val="19"/>
        </w:rPr>
        <w:t>JEs touching equity, distributions, or compensation require Owner approval.</w:t>
      </w:r>
    </w:p>
    <w:p>
      <w:pPr>
        <w:pStyle w:val="ListBullet"/>
        <w:spacing w:before="20" w:after="40"/>
      </w:pPr>
      <w:r>
        <w:rPr>
          <w:rFonts w:ascii="Calibri" w:hAnsi="Calibri"/>
          <w:b w:val="0"/>
          <w:color w:val="2B2B2B"/>
          <w:sz w:val="19"/>
        </w:rPr>
        <w:t>JEs touching 280E classification require cannabis-CPA approval.</w:t>
      </w:r>
    </w:p>
    <w:p>
      <w:pPr>
        <w:spacing w:before="120" w:after="60"/>
      </w:pPr>
      <w:r>
        <w:rPr>
          <w:rFonts w:ascii="Calibri" w:hAnsi="Calibri"/>
          <w:b/>
          <w:color w:val="5A2A4D"/>
          <w:sz w:val="20"/>
        </w:rPr>
        <w:t>C. Posting</w:t>
      </w:r>
    </w:p>
    <w:p>
      <w:pPr>
        <w:pStyle w:val="ListBullet"/>
        <w:spacing w:before="20" w:after="40"/>
      </w:pPr>
      <w:r>
        <w:rPr>
          <w:rFonts w:ascii="Calibri" w:hAnsi="Calibri"/>
          <w:b w:val="0"/>
          <w:color w:val="2B2B2B"/>
          <w:sz w:val="19"/>
        </w:rPr>
        <w:t>The approved JE is posted in QBO; approval evidence (email, signed memo, QBO-logged review) is retained.</w:t>
      </w:r>
    </w:p>
    <w:p>
      <w:pPr>
        <w:pStyle w:val="ListBullet"/>
        <w:spacing w:before="20" w:after="40"/>
      </w:pPr>
      <w:r>
        <w:rPr>
          <w:rFonts w:ascii="Calibri" w:hAnsi="Calibri"/>
          <w:b w:val="0"/>
          <w:color w:val="2B2B2B"/>
          <w:sz w:val="19"/>
        </w:rPr>
        <w:t>JEs to closed periods require an Adjusting JE designation and are flagged in the close package (SOP 17).</w:t>
      </w:r>
    </w:p>
    <w:p>
      <w:pPr>
        <w:spacing w:before="120" w:after="60"/>
      </w:pPr>
      <w:r>
        <w:rPr>
          <w:rFonts w:ascii="Calibri" w:hAnsi="Calibri"/>
          <w:b/>
          <w:color w:val="5A2A4D"/>
          <w:sz w:val="20"/>
        </w:rPr>
        <w:t>D. Documentation &amp; Review</w:t>
      </w:r>
    </w:p>
    <w:p>
      <w:pPr>
        <w:pStyle w:val="ListBullet"/>
        <w:spacing w:before="20" w:after="40"/>
      </w:pPr>
      <w:r>
        <w:rPr>
          <w:rFonts w:ascii="Calibri" w:hAnsi="Calibri"/>
          <w:b w:val="0"/>
          <w:color w:val="2B2B2B"/>
          <w:sz w:val="19"/>
        </w:rPr>
        <w:t>All JEs and their supporting documentation are filed to document management system (11_Accounting / 02_Journal Entries) and reviewed in the close package.</w:t>
      </w:r>
    </w:p>
    <w:p>
      <w:pPr>
        <w:pStyle w:val="ListBullet"/>
        <w:spacing w:before="20" w:after="40"/>
      </w:pPr>
      <w:r>
        <w:rPr>
          <w:rFonts w:ascii="Calibri" w:hAnsi="Calibri"/>
          <w:b w:val="0"/>
          <w:color w:val="2B2B2B"/>
          <w:sz w:val="19"/>
        </w:rPr>
        <w:t>Controller reviews the JE register monthly for unusual patterns, repeat entries, and weekend / off-hour postings.</w:t>
      </w:r>
    </w:p>
    <w:p>
      <w:pPr>
        <w:spacing w:before="120" w:after="80"/>
      </w:pPr>
      <w:r>
        <w:rPr>
          <w:rFonts w:ascii="Calibri" w:hAnsi="Calibri"/>
          <w:b w:val="0"/>
          <w:color w:val="707070"/>
          <w:sz w:val="17"/>
        </w:rPr>
        <w:t>The dollar threshold for self-approved vs. Controller-approved JEs is set by Controller during implementation, based on materiality. The list of recurring JE templates is maintained in document management system.</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Preparer / approver separation — Preparer does not approve their own JEs.</w:t>
      </w:r>
    </w:p>
    <w:p>
      <w:pPr>
        <w:pStyle w:val="ListBullet"/>
        <w:spacing w:before="20" w:after="40"/>
      </w:pPr>
      <w:r>
        <w:rPr>
          <w:rFonts w:ascii="Calibri" w:hAnsi="Calibri"/>
          <w:b w:val="0"/>
          <w:color w:val="2B2B2B"/>
          <w:sz w:val="19"/>
        </w:rPr>
        <w:t>Documented threshold and category rules for self-approval.</w:t>
      </w:r>
    </w:p>
    <w:p>
      <w:pPr>
        <w:pStyle w:val="ListBullet"/>
        <w:spacing w:before="20" w:after="40"/>
      </w:pPr>
      <w:r>
        <w:rPr>
          <w:rFonts w:ascii="Calibri" w:hAnsi="Calibri"/>
          <w:b w:val="0"/>
          <w:color w:val="2B2B2B"/>
          <w:sz w:val="19"/>
        </w:rPr>
        <w:t>All Adjusting and Reclassification JEs require Controller approval.</w:t>
      </w:r>
    </w:p>
    <w:p>
      <w:pPr>
        <w:pStyle w:val="ListBullet"/>
        <w:spacing w:before="20" w:after="40"/>
      </w:pPr>
      <w:r>
        <w:rPr>
          <w:rFonts w:ascii="Calibri" w:hAnsi="Calibri"/>
          <w:b w:val="0"/>
          <w:color w:val="2B2B2B"/>
          <w:sz w:val="19"/>
        </w:rPr>
        <w:t>Equity / distribution / compensation JEs require Owner approval.</w:t>
      </w:r>
    </w:p>
    <w:p>
      <w:pPr>
        <w:pStyle w:val="ListBullet"/>
        <w:spacing w:before="20" w:after="40"/>
      </w:pPr>
      <w:r>
        <w:rPr>
          <w:rFonts w:ascii="Calibri" w:hAnsi="Calibri"/>
          <w:b w:val="0"/>
          <w:color w:val="2B2B2B"/>
          <w:sz w:val="19"/>
        </w:rPr>
        <w:t>280E-touching JEs require cannabis-CPA approval.</w:t>
      </w:r>
    </w:p>
    <w:p>
      <w:pPr>
        <w:pStyle w:val="ListBullet"/>
        <w:spacing w:before="20" w:after="40"/>
      </w:pPr>
      <w:r>
        <w:rPr>
          <w:rFonts w:ascii="Calibri" w:hAnsi="Calibri"/>
          <w:b w:val="0"/>
          <w:color w:val="2B2B2B"/>
          <w:sz w:val="19"/>
        </w:rPr>
        <w:t>Closed-period JEs designated as Adjusting and flagged in the close package.</w:t>
      </w:r>
    </w:p>
    <w:p>
      <w:pPr>
        <w:pStyle w:val="ListBullet"/>
        <w:spacing w:before="20" w:after="40"/>
      </w:pPr>
      <w:r>
        <w:rPr>
          <w:rFonts w:ascii="Calibri" w:hAnsi="Calibri"/>
          <w:b w:val="0"/>
          <w:color w:val="2B2B2B"/>
          <w:sz w:val="19"/>
        </w:rPr>
        <w:t>JE register reviewed monthly by Controller for unusual patterns.</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Applicable state regulations do not prescribe a JE protocol; this SOP is internal-control and accounting best practice. JE discipline supports audit-readiness, 280E classification (cannabis CPA), and the close (SOP 17).</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Preparer / approver separation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Two-person discipline on manual GL entries.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Documented approval threshold and category rules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Risk-based control proportionate to entry materiality.</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Recurring JE template discipline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Standardized, Controller-controlled templates reduce error.</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BP</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Closed-period control</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Period lock + Adjusting JE designation supports audit trail.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 monthly JE register 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Detects unusual or off-hour entries.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IRC §280E classification approval</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Cannabis-CPA confirmation on entries affecting tax position.</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 approval on equity / distributions / compensation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Authorizing control on owner-level impacts.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Journal entries with supporting documentation</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02_Journal Entries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Recurring JE templates (versioned)</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02_Journal Entries / Templates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business; superseded versions retained 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JE approval evidence</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02_Journal Entries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Monthly JE register reviews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11_Accounting / 02_Journal Entries / Register Reviews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JE posted without required approval: reversed, re-prepared, re-approved, and re-posted; gap documented and escalated to Controller.</w:t>
      </w:r>
    </w:p>
    <w:p>
      <w:pPr>
        <w:pStyle w:val="ListBullet"/>
        <w:spacing w:before="20" w:after="40"/>
      </w:pPr>
      <w:r>
        <w:rPr>
          <w:rFonts w:ascii="Calibri" w:hAnsi="Calibri"/>
          <w:b w:val="0"/>
          <w:color w:val="2B2B2B"/>
          <w:sz w:val="19"/>
        </w:rPr>
        <w:t>Closed-period JE posted without Adjusting designation: flagged by Controller; documented as a controls exception.</w:t>
      </w:r>
    </w:p>
    <w:p>
      <w:pPr>
        <w:pStyle w:val="ListBullet"/>
        <w:spacing w:before="20" w:after="40"/>
      </w:pPr>
      <w:r>
        <w:rPr>
          <w:rFonts w:ascii="Calibri" w:hAnsi="Calibri"/>
          <w:b w:val="0"/>
          <w:color w:val="2B2B2B"/>
          <w:sz w:val="19"/>
        </w:rPr>
        <w:t>Pattern of repeat Adjusting JEs in the same area: investigated by Controller for an upstream process gap; remediation tracked.</w:t>
      </w:r>
    </w:p>
    <w:p>
      <w:pPr>
        <w:pStyle w:val="ListBullet"/>
        <w:spacing w:before="20" w:after="40"/>
      </w:pPr>
      <w:r>
        <w:rPr>
          <w:rFonts w:ascii="Calibri" w:hAnsi="Calibri"/>
          <w:b w:val="0"/>
          <w:color w:val="2B2B2B"/>
          <w:sz w:val="19"/>
        </w:rPr>
        <w:t>Off-hour or weekend JEs without clear business reason: surfaced in Controller register review; documented explanation required.</w:t>
      </w:r>
    </w:p>
    <w:p>
      <w:pPr>
        <w:pStyle w:val="ListBullet"/>
        <w:spacing w:before="20" w:after="40"/>
      </w:pPr>
      <w:r>
        <w:rPr>
          <w:rFonts w:ascii="Calibri" w:hAnsi="Calibri"/>
          <w:b w:val="0"/>
          <w:color w:val="2B2B2B"/>
          <w:sz w:val="19"/>
        </w:rPr>
        <w:t>Suspected manipulation of GL: held pending Owner / Controller investigation; period lock enforced.</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0"/>
      </w:pPr>
      <w:r>
        <w:rPr>
          <w:rFonts w:ascii="Calibri" w:hAnsi="Calibri"/>
          <w:b/>
          <w:color w:val="707070"/>
          <w:sz w:val="16"/>
        </w:rPr>
        <w:t>FINANCIAL FOUNDATIONS · STANDARD OPERATING PROCEDURE EXAMPLE — FOR TRAINING USE</w:t>
      </w:r>
    </w:p>
    <w:p>
      <w:pPr>
        <w:spacing w:before="40" w:after="0"/>
      </w:pPr>
      <w:r>
        <w:rPr>
          <w:rFonts w:ascii="Calibri" w:hAnsi="Calibri"/>
          <w:b/>
          <w:color w:val="5A2A4D"/>
          <w:sz w:val="48"/>
        </w:rPr>
        <w:t>System Access &amp; User Provisioning</w:t>
      </w:r>
    </w:p>
    <w:p>
      <w:pPr>
        <w:spacing w:before="0" w:after="80"/>
      </w:pPr>
      <w:r>
        <w:rPr>
          <w:rFonts w:ascii="Calibri" w:hAnsi="Calibri"/>
          <w:b w:val="0"/>
          <w:color w:val="2B2B2B"/>
          <w:sz w:val="24"/>
        </w:rPr>
        <w:t>Priority-1 Standard Operating Procedure · the Company</w:t>
      </w:r>
    </w:p>
    <w:p>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ayout w:type="fixed"/>
        <w:tblLook w:firstColumn="1" w:firstRow="1" w:lastColumn="0" w:lastRow="0" w:noHBand="0" w:noVBand="1" w:val="04A0"/>
      </w:tblPr>
      <w:tblGrid>
        <w:gridCol w:w="2340"/>
        <w:gridCol w:w="2340"/>
        <w:gridCol w:w="2340"/>
        <w:gridCol w:w="2340"/>
      </w:tblGrid>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SOP ID</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SOP 19 — System Access &amp; User Provisioning</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Version</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v1.0</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Process Owner</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Accounting (admin) with Controller oversight</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Effective Date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Sample — training use</w:t>
            </w:r>
          </w:p>
        </w:tc>
      </w:tr>
      <w:tr>
        <w:tc>
          <w:tcPr>
            <w:tcW w:type="dxa" w:w="1872"/>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Prepared By</w:t>
            </w:r>
          </w:p>
        </w:tc>
        <w:tc>
          <w:tcPr>
            <w:tcW w:type="dxa" w:w="3888"/>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Controller</w:t>
            </w:r>
          </w:p>
        </w:tc>
        <w:tc>
          <w:tcPr>
            <w:tcW w:type="dxa" w:w="1728"/>
            <w:vAlign w:val="center"/>
            <w:tcBorders>
              <w:top w:val="single" w:sz="4" w:color="D6C5CF"/>
              <w:left w:val="single" w:sz="4" w:color="D6C5CF"/>
              <w:bottom w:val="single" w:sz="4" w:color="D6C5CF"/>
              <w:right w:val="single" w:sz="4" w:color="D6C5CF"/>
            </w:tcBorders>
            <w:shd w:val="clear" w:color="auto" w:fill="EFE3EA"/>
          </w:tcPr>
          <w:p>
            <w:pPr>
              <w:spacing w:before="40" w:after="40"/>
            </w:pPr>
            <w:r>
              <w:rPr>
                <w:rFonts w:ascii="Calibri" w:hAnsi="Calibri"/>
                <w:b/>
                <w:color w:val="5A2A4D"/>
                <w:sz w:val="20"/>
              </w:rPr>
              <w:t>Review Cadence</w:t>
            </w:r>
          </w:p>
        </w:tc>
        <w:tc>
          <w:tcPr>
            <w:tcW w:type="dxa" w:w="2592"/>
            <w:vAlign w:val="center"/>
            <w:tcBorders>
              <w:top w:val="single" w:sz="4" w:color="D6C5CF"/>
              <w:left w:val="single" w:sz="4" w:color="D6C5CF"/>
              <w:bottom w:val="single" w:sz="4" w:color="D6C5CF"/>
              <w:right w:val="single" w:sz="4" w:color="D6C5CF"/>
            </w:tcBorders>
          </w:tcPr>
          <w:p>
            <w:pPr>
              <w:spacing w:before="40" w:after="40"/>
            </w:pPr>
            <w:r>
              <w:rPr>
                <w:rFonts w:ascii="Calibri" w:hAnsi="Calibri"/>
                <w:b w:val="0"/>
                <w:color w:val="2B2B2B"/>
                <w:sz w:val="20"/>
              </w:rPr>
              <w:t>Annual, or on process change</w:t>
            </w:r>
          </w:p>
        </w:tc>
      </w:tr>
    </w:tbl>
    <w:p>
      <w:pPr>
        <w:spacing w:before="40" w:after="80"/>
      </w:pPr>
    </w:p>
    <w:p>
      <w:pPr>
        <w:spacing w:before="200" w:after="80"/>
      </w:pPr>
      <w:r>
        <w:rPr>
          <w:rFonts w:ascii="Calibri" w:hAnsi="Calibri"/>
          <w:b/>
          <w:color w:val="5A2A4D"/>
          <w:sz w:val="23"/>
        </w:rPr>
        <w:t>1. Purpose</w:t>
      </w:r>
    </w:p>
    <w:p>
      <w:pPr>
        <w:spacing w:before="40" w:after="80"/>
      </w:pPr>
      <w:r>
        <w:rPr>
          <w:rFonts w:ascii="Calibri" w:hAnsi="Calibri"/>
          <w:b w:val="0"/>
          <w:color w:val="2B2B2B"/>
          <w:sz w:val="21"/>
        </w:rPr>
        <w:t>This procedure establishes how Company grants, modifies, and removes user access to its operational and accounting systems. Disciplined access controls reduce fraud risk, support segregation of duties, and protect cannabis-compliance and financial data.</w:t>
      </w:r>
    </w:p>
    <w:p>
      <w:pPr>
        <w:spacing w:before="200" w:after="80"/>
      </w:pPr>
      <w:r>
        <w:rPr>
          <w:rFonts w:ascii="Calibri" w:hAnsi="Calibri"/>
          <w:b/>
          <w:color w:val="5A2A4D"/>
          <w:sz w:val="23"/>
        </w:rPr>
        <w:t>2. Scope</w:t>
      </w:r>
    </w:p>
    <w:p>
      <w:pPr>
        <w:spacing w:before="40" w:after="80"/>
      </w:pPr>
      <w:r>
        <w:rPr>
          <w:rFonts w:ascii="Calibri" w:hAnsi="Calibri"/>
          <w:b w:val="0"/>
          <w:color w:val="2B2B2B"/>
          <w:sz w:val="21"/>
        </w:rPr>
        <w:t>This procedure applies to access in: QuickBooks Online, the POS, the HR/timekeeping system, track-and-trace system, document management system, Microsoft 365, the banking platforms, the payroll provider, and any other system used by Company to operate or to maintain records.</w:t>
      </w:r>
    </w:p>
    <w:p>
      <w:pPr>
        <w:spacing w:before="200" w:after="80"/>
      </w:pPr>
      <w:r>
        <w:rPr>
          <w:rFonts w:ascii="Calibri" w:hAnsi="Calibri"/>
          <w:b/>
          <w:color w:val="5A2A4D"/>
          <w:sz w:val="23"/>
        </w:rPr>
        <w:t>3. Definitions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Term</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Definition</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User Provisioning</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The process of granting a named individual access to a system at a defined role and permission level.</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Role-Based Access</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Access tied to a defined job role rather than to an individual's preference or convenience.</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Least-Privilege Principle</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Each user is granted the minimum access needed to perform their role; additional access is requested and approved separately.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Periodic Access Review</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 scheduled review of every system's user list and permission levels.</w:t>
            </w:r>
          </w:p>
        </w:tc>
      </w:tr>
    </w:tbl>
    <w:p>
      <w:pPr>
        <w:spacing w:before="200" w:after="80"/>
      </w:pPr>
      <w:r>
        <w:rPr>
          <w:rFonts w:ascii="Calibri" w:hAnsi="Calibri"/>
          <w:b/>
          <w:color w:val="5A2A4D"/>
          <w:sz w:val="23"/>
        </w:rPr>
        <w:t>4. Roles &amp; Responsibilities</w:t>
      </w:r>
    </w:p>
    <w:tbl>
      <w:tblPr>
        <w:tblW w:type="auto" w:w="0"/>
        <w:tblLayout w:type="fixed"/>
        <w:tblLook w:firstColumn="1" w:firstRow="1" w:lastColumn="0" w:lastRow="0" w:noHBand="0" w:noVBand="1" w:val="04A0"/>
      </w:tblPr>
      <w:tblGrid>
        <w:gridCol w:w="4680"/>
        <w:gridCol w:w="4680"/>
      </w:tblGrid>
      <w:tr>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Role</w:t>
            </w:r>
          </w:p>
        </w:tc>
        <w:tc>
          <w:tcPr>
            <w:tcW w:type="dxa" w:w="64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Responsibility</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Accounting (admin)</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Administers user provisioning across systems; maintains the User Access Register; executes onboarding and offboarding.</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Controller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access changes; performs the quarterly Access Review; sets the permission matrix.</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Owner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Approves administrative-level access and any deviation from the permission matrix.</w:t>
            </w:r>
          </w:p>
        </w:tc>
      </w:tr>
      <w:tr>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Manager</w:t>
            </w:r>
          </w:p>
        </w:tc>
        <w:tc>
          <w:tcPr>
            <w:tcW w:type="dxa" w:w="64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Submits access requests for direct reports with documented business need.</w:t>
            </w:r>
          </w:p>
        </w:tc>
      </w:tr>
    </w:tbl>
    <w:p>
      <w:pPr>
        <w:spacing w:before="200" w:after="80"/>
      </w:pPr>
      <w:r>
        <w:rPr>
          <w:rFonts w:ascii="Calibri" w:hAnsi="Calibri"/>
          <w:b/>
          <w:color w:val="5A2A4D"/>
          <w:sz w:val="23"/>
        </w:rPr>
        <w:t>5. Procedure</w:t>
      </w:r>
    </w:p>
    <w:p>
      <w:pPr>
        <w:spacing w:before="120" w:after="60"/>
      </w:pPr>
      <w:r>
        <w:rPr>
          <w:rFonts w:ascii="Calibri" w:hAnsi="Calibri"/>
          <w:b/>
          <w:color w:val="5A2A4D"/>
          <w:sz w:val="20"/>
        </w:rPr>
        <w:t>A. Onboarding</w:t>
      </w:r>
    </w:p>
    <w:p>
      <w:pPr>
        <w:pStyle w:val="ListBullet"/>
        <w:spacing w:before="20" w:after="40"/>
      </w:pPr>
      <w:r>
        <w:rPr>
          <w:rFonts w:ascii="Calibri" w:hAnsi="Calibri"/>
          <w:b w:val="0"/>
          <w:color w:val="2B2B2B"/>
          <w:sz w:val="19"/>
        </w:rPr>
        <w:t>Within one business day of hire, the Manager submits an Access Request identifying systems, roles, and business need.</w:t>
      </w:r>
    </w:p>
    <w:p>
      <w:pPr>
        <w:pStyle w:val="ListBullet"/>
        <w:spacing w:before="20" w:after="40"/>
      </w:pPr>
      <w:r>
        <w:rPr>
          <w:rFonts w:ascii="Calibri" w:hAnsi="Calibri"/>
          <w:b w:val="0"/>
          <w:color w:val="2B2B2B"/>
          <w:sz w:val="19"/>
        </w:rPr>
        <w:t>Accounting provisions access at the role-defined permission level; Controller approves any deviation from the matrix.</w:t>
      </w:r>
    </w:p>
    <w:p>
      <w:pPr>
        <w:pStyle w:val="ListBullet"/>
        <w:spacing w:before="20" w:after="40"/>
      </w:pPr>
      <w:r>
        <w:rPr>
          <w:rFonts w:ascii="Calibri" w:hAnsi="Calibri"/>
          <w:b w:val="0"/>
          <w:color w:val="2B2B2B"/>
          <w:sz w:val="19"/>
        </w:rPr>
        <w:t>Owner approval is required for administrative-level access in any system.</w:t>
      </w:r>
    </w:p>
    <w:p>
      <w:pPr>
        <w:pStyle w:val="ListBullet"/>
        <w:spacing w:before="20" w:after="40"/>
      </w:pPr>
      <w:r>
        <w:rPr>
          <w:rFonts w:ascii="Calibri" w:hAnsi="Calibri"/>
          <w:b w:val="0"/>
          <w:color w:val="2B2B2B"/>
          <w:sz w:val="19"/>
        </w:rPr>
        <w:t>The user receives credentials via secure channel; shared logins are prohibited.</w:t>
      </w:r>
    </w:p>
    <w:p>
      <w:pPr>
        <w:spacing w:before="120" w:after="60"/>
      </w:pPr>
      <w:r>
        <w:rPr>
          <w:rFonts w:ascii="Calibri" w:hAnsi="Calibri"/>
          <w:b/>
          <w:color w:val="5A2A4D"/>
          <w:sz w:val="20"/>
        </w:rPr>
        <w:t>B. Modification</w:t>
      </w:r>
    </w:p>
    <w:p>
      <w:pPr>
        <w:pStyle w:val="ListBullet"/>
        <w:spacing w:before="20" w:after="40"/>
      </w:pPr>
      <w:r>
        <w:rPr>
          <w:rFonts w:ascii="Calibri" w:hAnsi="Calibri"/>
          <w:b w:val="0"/>
          <w:color w:val="2B2B2B"/>
          <w:sz w:val="19"/>
        </w:rPr>
        <w:t>Role changes trigger an Access Modification request; the prior role's access is removed and the new role's access is provisioned.</w:t>
      </w:r>
    </w:p>
    <w:p>
      <w:pPr>
        <w:pStyle w:val="ListBullet"/>
        <w:spacing w:before="20" w:after="40"/>
      </w:pPr>
      <w:r>
        <w:rPr>
          <w:rFonts w:ascii="Calibri" w:hAnsi="Calibri"/>
          <w:b w:val="0"/>
          <w:color w:val="2B2B2B"/>
          <w:sz w:val="19"/>
        </w:rPr>
        <w:t>Temporary elevation (project-based) is documented with an end date and is removed on schedule.</w:t>
      </w:r>
    </w:p>
    <w:p>
      <w:pPr>
        <w:spacing w:before="120" w:after="60"/>
      </w:pPr>
      <w:r>
        <w:rPr>
          <w:rFonts w:ascii="Calibri" w:hAnsi="Calibri"/>
          <w:b/>
          <w:color w:val="5A2A4D"/>
          <w:sz w:val="20"/>
        </w:rPr>
        <w:t>C. Offboarding</w:t>
      </w:r>
    </w:p>
    <w:p>
      <w:pPr>
        <w:pStyle w:val="ListBullet"/>
        <w:spacing w:before="20" w:after="40"/>
      </w:pPr>
      <w:r>
        <w:rPr>
          <w:rFonts w:ascii="Calibri" w:hAnsi="Calibri"/>
          <w:b w:val="0"/>
          <w:color w:val="2B2B2B"/>
          <w:sz w:val="19"/>
        </w:rPr>
        <w:t>On notice of departure (voluntary or involuntary), Accounting removes access across all systems by end of the user's last business day, or earlier on Owner instruction for involuntary terminations.</w:t>
      </w:r>
    </w:p>
    <w:p>
      <w:pPr>
        <w:pStyle w:val="ListBullet"/>
        <w:spacing w:before="20" w:after="40"/>
      </w:pPr>
      <w:r>
        <w:rPr>
          <w:rFonts w:ascii="Calibri" w:hAnsi="Calibri"/>
          <w:b w:val="0"/>
          <w:color w:val="2B2B2B"/>
          <w:sz w:val="19"/>
        </w:rPr>
        <w:t>Cards (corporate card per SOP 08), keys/badges, and physical access are collected.</w:t>
      </w:r>
    </w:p>
    <w:p>
      <w:pPr>
        <w:pStyle w:val="ListBullet"/>
        <w:spacing w:before="20" w:after="40"/>
      </w:pPr>
      <w:r>
        <w:rPr>
          <w:rFonts w:ascii="Calibri" w:hAnsi="Calibri"/>
          <w:b w:val="0"/>
          <w:color w:val="2B2B2B"/>
          <w:sz w:val="19"/>
        </w:rPr>
        <w:t>MFA devices and recovery emails are removed.</w:t>
      </w:r>
    </w:p>
    <w:p>
      <w:pPr>
        <w:pStyle w:val="ListBullet"/>
        <w:spacing w:before="20" w:after="40"/>
      </w:pPr>
      <w:r>
        <w:rPr>
          <w:rFonts w:ascii="Calibri" w:hAnsi="Calibri"/>
          <w:b w:val="0"/>
          <w:color w:val="2B2B2B"/>
          <w:sz w:val="19"/>
        </w:rPr>
        <w:t>A signed Offboarding Checklist is filed; Controller confirms completion on the Access Register.</w:t>
      </w:r>
    </w:p>
    <w:p>
      <w:pPr>
        <w:spacing w:before="120" w:after="60"/>
      </w:pPr>
      <w:r>
        <w:rPr>
          <w:rFonts w:ascii="Calibri" w:hAnsi="Calibri"/>
          <w:b/>
          <w:color w:val="5A2A4D"/>
          <w:sz w:val="20"/>
        </w:rPr>
        <w:t>D. Periodic Access Review</w:t>
      </w:r>
    </w:p>
    <w:p>
      <w:pPr>
        <w:pStyle w:val="ListBullet"/>
        <w:spacing w:before="20" w:after="40"/>
      </w:pPr>
      <w:r>
        <w:rPr>
          <w:rFonts w:ascii="Calibri" w:hAnsi="Calibri"/>
          <w:b w:val="0"/>
          <w:color w:val="2B2B2B"/>
          <w:sz w:val="19"/>
        </w:rPr>
        <w:t>Controller performs a quarterly Access Review across all systems, confirming every user, role, and permission level.</w:t>
      </w:r>
    </w:p>
    <w:p>
      <w:pPr>
        <w:pStyle w:val="ListBullet"/>
        <w:spacing w:before="20" w:after="40"/>
      </w:pPr>
      <w:r>
        <w:rPr>
          <w:rFonts w:ascii="Calibri" w:hAnsi="Calibri"/>
          <w:b w:val="0"/>
          <w:color w:val="2B2B2B"/>
          <w:sz w:val="19"/>
        </w:rPr>
        <w:t>Findings (over-provisioned users, residual access, dormant accounts) are remediated within ten business days.</w:t>
      </w:r>
    </w:p>
    <w:p>
      <w:pPr>
        <w:pStyle w:val="ListBullet"/>
        <w:spacing w:before="20" w:after="40"/>
      </w:pPr>
      <w:r>
        <w:rPr>
          <w:rFonts w:ascii="Calibri" w:hAnsi="Calibri"/>
          <w:b w:val="0"/>
          <w:color w:val="2B2B2B"/>
          <w:sz w:val="19"/>
        </w:rPr>
        <w:t>The Access Review memo is filed and reviewed with Owner.</w:t>
      </w:r>
    </w:p>
    <w:p>
      <w:pPr>
        <w:spacing w:before="120" w:after="60"/>
      </w:pPr>
      <w:r>
        <w:rPr>
          <w:rFonts w:ascii="Calibri" w:hAnsi="Calibri"/>
          <w:b/>
          <w:color w:val="5A2A4D"/>
          <w:sz w:val="20"/>
        </w:rPr>
        <w:t>E. MFA, Passwords, and Credential Hygiene</w:t>
      </w:r>
    </w:p>
    <w:p>
      <w:pPr>
        <w:pStyle w:val="ListBullet"/>
        <w:spacing w:before="20" w:after="40"/>
      </w:pPr>
      <w:r>
        <w:rPr>
          <w:rFonts w:ascii="Calibri" w:hAnsi="Calibri"/>
          <w:b w:val="0"/>
          <w:color w:val="2B2B2B"/>
          <w:sz w:val="19"/>
        </w:rPr>
        <w:t>Multi-factor authentication is required on every system that supports it.</w:t>
      </w:r>
    </w:p>
    <w:p>
      <w:pPr>
        <w:pStyle w:val="ListBullet"/>
        <w:spacing w:before="20" w:after="40"/>
      </w:pPr>
      <w:r>
        <w:rPr>
          <w:rFonts w:ascii="Calibri" w:hAnsi="Calibri"/>
          <w:b w:val="0"/>
          <w:color w:val="2B2B2B"/>
          <w:sz w:val="19"/>
        </w:rPr>
        <w:t>Passwords are not shared, written down, or stored in unsecured locations.</w:t>
      </w:r>
    </w:p>
    <w:p>
      <w:pPr>
        <w:pStyle w:val="ListBullet"/>
        <w:spacing w:before="20" w:after="40"/>
      </w:pPr>
      <w:r>
        <w:rPr>
          <w:rFonts w:ascii="Calibri" w:hAnsi="Calibri"/>
          <w:b w:val="0"/>
          <w:color w:val="2B2B2B"/>
          <w:sz w:val="19"/>
        </w:rPr>
        <w:t>Suspected credential compromise triggers immediate password reset and review of session history.</w:t>
      </w:r>
    </w:p>
    <w:p>
      <w:pPr>
        <w:spacing w:before="120" w:after="80"/>
      </w:pPr>
      <w:r>
        <w:rPr>
          <w:rFonts w:ascii="Calibri" w:hAnsi="Calibri"/>
          <w:b w:val="0"/>
          <w:color w:val="707070"/>
          <w:sz w:val="17"/>
        </w:rPr>
        <w:t>The permission matrix mapping roles to system access levels is a controlled document maintained separately by Controller. The set of in-scope systems will expand as implementation completes.</w:t>
      </w:r>
    </w:p>
    <w:p>
      <w:pPr>
        <w:spacing w:before="200" w:after="80"/>
      </w:pPr>
      <w:r>
        <w:rPr>
          <w:rFonts w:ascii="Calibri" w:hAnsi="Calibri"/>
          <w:b/>
          <w:color w:val="5A2A4D"/>
          <w:sz w:val="23"/>
        </w:rPr>
        <w:t>6. Internal Controls</w:t>
      </w:r>
    </w:p>
    <w:p>
      <w:pPr>
        <w:pStyle w:val="ListBullet"/>
        <w:spacing w:before="20" w:after="40"/>
      </w:pPr>
      <w:r>
        <w:rPr>
          <w:rFonts w:ascii="Calibri" w:hAnsi="Calibri"/>
          <w:b w:val="0"/>
          <w:color w:val="2B2B2B"/>
          <w:sz w:val="19"/>
        </w:rPr>
        <w:t>Role-based, least-privilege provisioning.</w:t>
      </w:r>
    </w:p>
    <w:p>
      <w:pPr>
        <w:pStyle w:val="ListBullet"/>
        <w:spacing w:before="20" w:after="40"/>
      </w:pPr>
      <w:r>
        <w:rPr>
          <w:rFonts w:ascii="Calibri" w:hAnsi="Calibri"/>
          <w:b w:val="0"/>
          <w:color w:val="2B2B2B"/>
          <w:sz w:val="19"/>
        </w:rPr>
        <w:t>Owner approval for administrative-level access.</w:t>
      </w:r>
    </w:p>
    <w:p>
      <w:pPr>
        <w:pStyle w:val="ListBullet"/>
        <w:spacing w:before="20" w:after="40"/>
      </w:pPr>
      <w:r>
        <w:rPr>
          <w:rFonts w:ascii="Calibri" w:hAnsi="Calibri"/>
          <w:b w:val="0"/>
          <w:color w:val="2B2B2B"/>
          <w:sz w:val="19"/>
        </w:rPr>
        <w:t>Access removed by end of last business day on departure.</w:t>
      </w:r>
    </w:p>
    <w:p>
      <w:pPr>
        <w:pStyle w:val="ListBullet"/>
        <w:spacing w:before="20" w:after="40"/>
      </w:pPr>
      <w:r>
        <w:rPr>
          <w:rFonts w:ascii="Calibri" w:hAnsi="Calibri"/>
          <w:b w:val="0"/>
          <w:color w:val="2B2B2B"/>
          <w:sz w:val="19"/>
        </w:rPr>
        <w:t>No shared logins on any system.</w:t>
      </w:r>
    </w:p>
    <w:p>
      <w:pPr>
        <w:pStyle w:val="ListBullet"/>
        <w:spacing w:before="20" w:after="40"/>
      </w:pPr>
      <w:r>
        <w:rPr>
          <w:rFonts w:ascii="Calibri" w:hAnsi="Calibri"/>
          <w:b w:val="0"/>
          <w:color w:val="2B2B2B"/>
          <w:sz w:val="19"/>
        </w:rPr>
        <w:t>MFA required where supported.</w:t>
      </w:r>
    </w:p>
    <w:p>
      <w:pPr>
        <w:pStyle w:val="ListBullet"/>
        <w:spacing w:before="20" w:after="40"/>
      </w:pPr>
      <w:r>
        <w:rPr>
          <w:rFonts w:ascii="Calibri" w:hAnsi="Calibri"/>
          <w:b w:val="0"/>
          <w:color w:val="2B2B2B"/>
          <w:sz w:val="19"/>
        </w:rPr>
        <w:t>Quarterly Controller access review with documented remediation.</w:t>
      </w:r>
    </w:p>
    <w:p>
      <w:pPr>
        <w:pStyle w:val="ListBullet"/>
        <w:spacing w:before="20" w:after="40"/>
      </w:pPr>
      <w:r>
        <w:rPr>
          <w:rFonts w:ascii="Calibri" w:hAnsi="Calibri"/>
          <w:b w:val="0"/>
          <w:color w:val="2B2B2B"/>
          <w:sz w:val="19"/>
        </w:rPr>
        <w:t>User Access Register is the single source of truth; updated at every change.</w:t>
      </w:r>
    </w:p>
    <w:p>
      <w:pPr>
        <w:spacing w:before="200" w:after="80"/>
      </w:pPr>
      <w:r>
        <w:rPr>
          <w:rFonts w:ascii="Calibri" w:hAnsi="Calibri"/>
          <w:b/>
          <w:color w:val="5A2A4D"/>
          <w:sz w:val="23"/>
        </w:rPr>
        <w:t>7. Regulatory &amp; Compliance Basis</w:t>
      </w:r>
    </w:p>
    <w:p>
      <w:pPr>
        <w:spacing w:after="80"/>
      </w:pPr>
      <w:r>
        <w:rPr>
          <w:rFonts w:ascii="Calibri" w:hAnsi="Calibri"/>
          <w:b w:val="0"/>
          <w:color w:val="707070"/>
          <w:sz w:val="17"/>
        </w:rPr>
        <w:t>Track-and-trace system, state cannabis regulator reporting, and cannabis-compliance system access are subject to state cannabis regulator rules — confirm specific provisioning requirements with counsel. Banking-platform access intersects with the financial institution's BSA program. Financial-system access controls are accounting best practice.</w:t>
      </w:r>
    </w:p>
    <w:tbl>
      <w:tblPr>
        <w:tblW w:type="auto" w:w="0"/>
        <w:tblLayout w:type="fixed"/>
        <w:tblLook w:firstColumn="1" w:firstRow="1" w:lastColumn="0" w:lastRow="0" w:noHBand="0" w:noVBand="1" w:val="04A0"/>
      </w:tblPr>
      <w:tblGrid>
        <w:gridCol w:w="3120"/>
        <w:gridCol w:w="3120"/>
        <w:gridCol w:w="3120"/>
      </w:tblGrid>
      <w:tr>
        <w:tc>
          <w:tcPr>
            <w:tcW w:type="dxa" w:w="316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Reference</w:t>
            </w:r>
          </w:p>
        </w:tc>
        <w:tc>
          <w:tcPr>
            <w:tcW w:type="dxa" w:w="50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Requirement / Basis</w:t>
            </w:r>
          </w:p>
        </w:tc>
        <w:tc>
          <w:tcPr>
            <w:tcW w:type="dxa" w:w="86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Class</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Track-and-trace system access controls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 state regulator guidance — confirm credentialing and audit requirements with counsel.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State cannabis regulator agent badging precondition</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Cross-reference SOP 09; system access conditioned on a current badge where applicable.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Banking platform access discipline</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Cross-reference SOP 04; quarterly review and same-day removal on departure.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Least-privilege role-based provisioning</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Minimum access necessary for the role.</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Quarterly access review</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Periodic confirmation of users and permissions.</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MFA on every supporting system</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Reduces credential compromise risk.</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No shared logins</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Audit trail and accountability control.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r>
        <w:tc>
          <w:tcPr>
            <w:tcW w:type="dxa" w:w="3168"/>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Same-day offboarding removal</w:t>
            </w:r>
          </w:p>
        </w:tc>
        <w:tc>
          <w:tcPr>
            <w:tcW w:type="dxa" w:w="504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Termination risk control.</w:t>
            </w:r>
          </w:p>
        </w:tc>
        <w:tc>
          <w:tcPr>
            <w:tcW w:type="dxa" w:w="86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IC</w:t>
            </w:r>
          </w:p>
        </w:tc>
      </w:tr>
    </w:tbl>
    <w:p>
      <w:pPr>
        <w:spacing w:before="200" w:after="80"/>
      </w:pPr>
      <w:r>
        <w:rPr>
          <w:rFonts w:ascii="Calibri" w:hAnsi="Calibri"/>
          <w:b/>
          <w:color w:val="5A2A4D"/>
          <w:sz w:val="23"/>
        </w:rPr>
        <w:t>8. Records &amp; Retention</w:t>
      </w:r>
    </w:p>
    <w:tbl>
      <w:tblPr>
        <w:tblW w:type="auto" w:w="0"/>
        <w:tblLayout w:type="fixed"/>
        <w:tblLook w:firstColumn="1" w:firstRow="1" w:lastColumn="0" w:lastRow="0" w:noHBand="0" w:noVBand="1" w:val="04A0"/>
      </w:tblPr>
      <w:tblGrid>
        <w:gridCol w:w="3120"/>
        <w:gridCol w:w="3120"/>
        <w:gridCol w:w="3120"/>
      </w:tblGrid>
      <w:tr>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Record</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Location (document management system)</w:t>
            </w:r>
          </w:p>
        </w:tc>
        <w:tc>
          <w:tcPr>
            <w:tcW w:type="dxa" w:w="2448"/>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Retention</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Permission Matrix (controlled document)</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05_Permission Matrix</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Life of business; superseded versions retained 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User Access Register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06_Access Register</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Access Requests with approvals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06_Access Register / Requests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Offboarding Checklists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06_Access Register / Offboarding</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r>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Quarterly Access Review memos</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13_Governance / 06_Access Register / Quarterly Reviews</w:t>
            </w:r>
          </w:p>
        </w:tc>
        <w:tc>
          <w:tcPr>
            <w:tcW w:type="dxa" w:w="2448"/>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Min. 7 years</w:t>
            </w:r>
          </w:p>
        </w:tc>
      </w:tr>
    </w:tbl>
    <w:p>
      <w:pPr>
        <w:spacing w:before="200" w:after="80"/>
      </w:pPr>
      <w:r>
        <w:rPr>
          <w:rFonts w:ascii="Calibri" w:hAnsi="Calibri"/>
          <w:b/>
          <w:color w:val="5A2A4D"/>
          <w:sz w:val="23"/>
        </w:rPr>
        <w:t>9. Exceptions &amp; Escalation</w:t>
      </w:r>
    </w:p>
    <w:p>
      <w:pPr>
        <w:pStyle w:val="ListBullet"/>
        <w:spacing w:before="20" w:after="40"/>
      </w:pPr>
      <w:r>
        <w:rPr>
          <w:rFonts w:ascii="Calibri" w:hAnsi="Calibri"/>
          <w:b w:val="0"/>
          <w:color w:val="2B2B2B"/>
          <w:sz w:val="19"/>
        </w:rPr>
        <w:t>Departing user retains access beyond last business day: documented as a controls exception; access removed immediately; Controller investigates root cause.</w:t>
      </w:r>
    </w:p>
    <w:p>
      <w:pPr>
        <w:pStyle w:val="ListBullet"/>
        <w:spacing w:before="20" w:after="40"/>
      </w:pPr>
      <w:r>
        <w:rPr>
          <w:rFonts w:ascii="Calibri" w:hAnsi="Calibri"/>
          <w:b w:val="0"/>
          <w:color w:val="2B2B2B"/>
          <w:sz w:val="19"/>
        </w:rPr>
        <w:t>Shared login discovered: terminated; the system is re-provisioned with unique credentials per user; gap documented.</w:t>
      </w:r>
    </w:p>
    <w:p>
      <w:pPr>
        <w:pStyle w:val="ListBullet"/>
        <w:spacing w:before="20" w:after="40"/>
      </w:pPr>
      <w:r>
        <w:rPr>
          <w:rFonts w:ascii="Calibri" w:hAnsi="Calibri"/>
          <w:b w:val="0"/>
          <w:color w:val="2B2B2B"/>
          <w:sz w:val="19"/>
        </w:rPr>
        <w:t>Over-provisioning identified in the quarterly review: remediated within ten business days; pattern findings escalate to a controls discussion with Owner.</w:t>
      </w:r>
    </w:p>
    <w:p>
      <w:pPr>
        <w:pStyle w:val="ListBullet"/>
        <w:spacing w:before="20" w:after="40"/>
      </w:pPr>
      <w:r>
        <w:rPr>
          <w:rFonts w:ascii="Calibri" w:hAnsi="Calibri"/>
          <w:b w:val="0"/>
          <w:color w:val="2B2B2B"/>
          <w:sz w:val="19"/>
        </w:rPr>
        <w:t>Suspected unauthorized access: credentials reset, session history reviewed, Owner / Controller / counsel notified the same business day; cross-reference SOP 16.</w:t>
      </w:r>
    </w:p>
    <w:p>
      <w:pPr>
        <w:pStyle w:val="ListBullet"/>
        <w:spacing w:before="20" w:after="40"/>
      </w:pPr>
      <w:r>
        <w:rPr>
          <w:rFonts w:ascii="Calibri" w:hAnsi="Calibri"/>
          <w:b w:val="0"/>
          <w:color w:val="2B2B2B"/>
          <w:sz w:val="19"/>
        </w:rPr>
        <w:t>MFA disabled or bypassed: re-enabled immediately; documented; user re-trained.</w:t>
      </w:r>
    </w:p>
    <w:p>
      <w:pPr>
        <w:spacing w:before="200" w:after="80"/>
      </w:pPr>
      <w:r>
        <w:rPr>
          <w:rFonts w:ascii="Calibri" w:hAnsi="Calibri"/>
          <w:b/>
          <w:color w:val="5A2A4D"/>
          <w:sz w:val="23"/>
        </w:rPr>
        <w:t>10. Revision History</w:t>
      </w:r>
    </w:p>
    <w:tbl>
      <w:tblPr>
        <w:tblW w:type="auto" w:w="0"/>
        <w:tblLayout w:type="fixed"/>
        <w:tblLook w:firstColumn="1" w:firstRow="1" w:lastColumn="0" w:lastRow="0" w:noHBand="0" w:noVBand="1" w:val="04A0"/>
      </w:tblPr>
      <w:tblGrid>
        <w:gridCol w:w="2340"/>
        <w:gridCol w:w="2340"/>
        <w:gridCol w:w="2340"/>
        <w:gridCol w:w="2340"/>
      </w:tblGrid>
      <w:tr>
        <w:tc>
          <w:tcPr>
            <w:tcW w:type="dxa" w:w="144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Version</w:t>
            </w:r>
          </w:p>
        </w:tc>
        <w:tc>
          <w:tcPr>
            <w:tcW w:type="dxa" w:w="1584"/>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Date</w:t>
            </w:r>
          </w:p>
        </w:tc>
        <w:tc>
          <w:tcPr>
            <w:tcW w:type="dxa" w:w="2880"/>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Author</w:t>
            </w:r>
          </w:p>
        </w:tc>
        <w:tc>
          <w:tcPr>
            <w:tcW w:type="dxa" w:w="3456"/>
            <w:shd w:val="clear" w:color="auto" w:fill="5A2A4D"/>
            <w:tcBorders>
              <w:top w:val="single" w:sz="4" w:color="D6C5CF"/>
              <w:left w:val="single" w:sz="4" w:color="D6C5CF"/>
              <w:bottom w:val="single" w:sz="4" w:color="D6C5CF"/>
              <w:right w:val="single" w:sz="4" w:color="D6C5CF"/>
            </w:tcBorders>
          </w:tcPr>
          <w:p>
            <w:pPr>
              <w:spacing w:before="60" w:after="60"/>
            </w:pPr>
            <w:r>
              <w:rPr>
                <w:rFonts w:ascii="Calibri" w:hAnsi="Calibri"/>
                <w:b/>
                <w:color w:val="FFFFFF"/>
                <w:sz w:val="21"/>
              </w:rPr>
              <w:t>Change</w:t>
            </w:r>
          </w:p>
        </w:tc>
      </w:tr>
      <w:tr>
        <w:tc>
          <w:tcPr>
            <w:tcW w:type="dxa" w:w="1440"/>
            <w:vAlign w:val="top"/>
            <w:tcBorders>
              <w:top w:val="single" w:sz="4" w:color="D6C5CF"/>
              <w:left w:val="single" w:sz="4" w:color="D6C5CF"/>
              <w:bottom w:val="single" w:sz="4" w:color="D6C5CF"/>
              <w:right w:val="single" w:sz="4" w:color="D6C5CF"/>
            </w:tcBorders>
          </w:tcPr>
          <w:p>
            <w:pPr>
              <w:spacing w:before="60" w:after="60"/>
            </w:pPr>
            <w:r>
              <w:rPr>
                <w:rFonts w:ascii="Calibri" w:hAnsi="Calibri"/>
                <w:b/>
                <w:color w:val="2B2B2B"/>
                <w:sz w:val="20"/>
              </w:rPr>
              <w:t>Sample v1.0</w:t>
            </w:r>
          </w:p>
        </w:tc>
        <w:tc>
          <w:tcPr>
            <w:tcW w:type="dxa" w:w="1584"/>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2026-05-28</w:t>
            </w:r>
          </w:p>
        </w:tc>
        <w:tc>
          <w:tcPr>
            <w:tcW w:type="dxa" w:w="2880"/>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Controller</w:t>
            </w:r>
          </w:p>
        </w:tc>
        <w:tc>
          <w:tcPr>
            <w:tcW w:type="dxa" w:w="3456"/>
            <w:vAlign w:val="top"/>
            <w:tcBorders>
              <w:top w:val="single" w:sz="4" w:color="D6C5CF"/>
              <w:left w:val="single" w:sz="4" w:color="D6C5CF"/>
              <w:bottom w:val="single" w:sz="4" w:color="D6C5CF"/>
              <w:right w:val="single" w:sz="4" w:color="D6C5CF"/>
            </w:tcBorders>
          </w:tcPr>
          <w:p>
            <w:pPr>
              <w:spacing w:before="60" w:after="60"/>
            </w:pPr>
            <w:r>
              <w:rPr>
                <w:rFonts w:ascii="Calibri" w:hAnsi="Calibri"/>
                <w:b w:val="0"/>
                <w:color w:val="2B2B2B"/>
                <w:sz w:val="20"/>
              </w:rPr>
              <w:t>Training example for the Financial Foundations cohort.</w:t>
            </w:r>
          </w:p>
        </w:tc>
      </w:tr>
    </w:tbl>
    <w:p>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rsidR="640B463F" w:rsidP="640B463F" w:rsidRDefault="640B463F" w14:paraId="6EB384AD" w14:textId="308599E8">
      <w:pPr>
        <w:spacing w:after="0"/>
        <w:rPr>
          <w:rFonts w:ascii="Calibri" w:hAnsi="Calibri"/>
          <w:b w:val="1"/>
          <w:bCs w:val="1"/>
          <w:color w:val="707070"/>
          <w:sz w:val="16"/>
          <w:szCs w:val="16"/>
        </w:rPr>
      </w:pPr>
    </w:p>
    <w:p w14:paraId="5EAFEAC5" w14:textId="77777777">
      <w:pPr>
        <w:spacing w:after="0"/>
      </w:pPr>
      <w:r>
        <w:rPr>
          <w:rFonts w:ascii="Calibri" w:hAnsi="Calibri"/>
          <w:b/>
          <w:color w:val="707070"/>
          <w:sz w:val="16"/>
        </w:rPr>
        <w:t>FINANCIAL FOUNDATIONS · STANDARD OPERATING PROCEDURE EXAMPLE — FOR TRAINING USE</w:t>
      </w:r>
    </w:p>
    <w:p w14:paraId="56348A95" w14:textId="77777777">
      <w:pPr>
        <w:spacing w:before="40" w:after="0"/>
      </w:pPr>
      <w:r>
        <w:rPr>
          <w:rFonts w:ascii="Calibri" w:hAnsi="Calibri"/>
          <w:b/>
          <w:color w:val="5A2A4D"/>
          <w:sz w:val="48"/>
        </w:rPr>
        <w:t>Internal Controls Review &amp; Controller Monthly Oversight</w:t>
      </w:r>
    </w:p>
    <w:p w14:paraId="4F88A1A1" w14:textId="77777777">
      <w:pPr>
        <w:spacing w:before="0" w:after="80"/>
      </w:pPr>
      <w:r>
        <w:rPr>
          <w:rFonts w:ascii="Calibri" w:hAnsi="Calibri"/>
          <w:b w:val="0"/>
          <w:color w:val="2B2B2B"/>
          <w:sz w:val="24"/>
        </w:rPr>
        <w:t>Priority-1 Standard Operating Procedure · the Company</w:t>
      </w:r>
    </w:p>
    <w:p w14:paraId="4108E048" w14:textId="77777777">
      <w:pPr>
        <w:spacing w:before="0" w:after="120"/>
      </w:pPr>
      <w:r>
        <w:rPr>
          <w:rFonts w:ascii="Calibri" w:hAnsi="Calibri"/>
          <w:b w:val="0"/>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w="0" w:type="auto"/>
        <w:tblLayout w:type="fixed"/>
        <w:tblLook w:val="04A0" w:firstRow="1" w:lastRow="0" w:firstColumn="1" w:lastColumn="0" w:noHBand="0" w:noVBand="1"/>
      </w:tblPr>
      <w:tblGrid>
        <w:gridCol w:w="2340"/>
        <w:gridCol w:w="2340"/>
        <w:gridCol w:w="2340"/>
        <w:gridCol w:w="2340"/>
      </w:tblGrid>
      <w:tr w14:paraId="734BB59D" w14:textId="77777777">
        <w:tc>
          <w:tcPr>
            <w:tcW w:w="1872" w:type="dxa"/>
            <w:vAlign w:val="center"/>
            <w:tcBorders>
              <w:top w:val="single" w:color="D6C5CF" w:sz="4"/>
              <w:left w:val="single" w:color="D6C5CF" w:sz="4"/>
              <w:bottom w:val="single" w:color="D6C5CF" w:sz="4"/>
              <w:right w:val="single" w:color="D6C5CF" w:sz="4"/>
            </w:tcBorders>
            <w:shd w:val="clear" w:color="auto" w:fill="EFE3EA"/>
          </w:tcPr>
          <w:p w14:paraId="2517BAC8" w14:textId="77777777">
            <w:pPr>
              <w:spacing w:before="40" w:after="40"/>
            </w:pPr>
            <w:r>
              <w:rPr>
                <w:rFonts w:ascii="Calibri" w:hAnsi="Calibri"/>
                <w:b/>
                <w:color w:val="5A2A4D"/>
                <w:sz w:val="20"/>
              </w:rPr>
              <w:t>SOP ID</w:t>
            </w:r>
          </w:p>
        </w:tc>
        <w:tc>
          <w:tcPr>
            <w:tcW w:w="3888" w:type="dxa"/>
            <w:vAlign w:val="center"/>
            <w:tcBorders>
              <w:top w:val="single" w:color="D6C5CF" w:sz="4"/>
              <w:left w:val="single" w:color="D6C5CF" w:sz="4"/>
              <w:bottom w:val="single" w:color="D6C5CF" w:sz="4"/>
              <w:right w:val="single" w:color="D6C5CF" w:sz="4"/>
            </w:tcBorders>
          </w:tcPr>
          <w:p w14:paraId="40475DA2" w14:textId="77777777">
            <w:pPr>
              <w:spacing w:before="40" w:after="40"/>
            </w:pPr>
            <w:r>
              <w:rPr>
                <w:rFonts w:ascii="Calibri" w:hAnsi="Calibri"/>
                <w:b w:val="0"/>
                <w:color w:val="2B2B2B"/>
                <w:sz w:val="20"/>
              </w:rPr>
              <w:t>SOP 20 — Internal Controls Review &amp; Controller Monthly Oversight</w:t>
            </w:r>
          </w:p>
        </w:tc>
        <w:tc>
          <w:tcPr>
            <w:tcW w:w="1728" w:type="dxa"/>
            <w:vAlign w:val="center"/>
            <w:tcBorders>
              <w:top w:val="single" w:color="D6C5CF" w:sz="4"/>
              <w:left w:val="single" w:color="D6C5CF" w:sz="4"/>
              <w:bottom w:val="single" w:color="D6C5CF" w:sz="4"/>
              <w:right w:val="single" w:color="D6C5CF" w:sz="4"/>
            </w:tcBorders>
            <w:shd w:val="clear" w:color="auto" w:fill="EFE3EA"/>
          </w:tcPr>
          <w:p w14:paraId="6B814A1E" w14:textId="77777777">
            <w:pPr>
              <w:spacing w:before="40" w:after="40"/>
            </w:pPr>
            <w:r>
              <w:rPr>
                <w:rFonts w:ascii="Calibri" w:hAnsi="Calibri"/>
                <w:b/>
                <w:color w:val="5A2A4D"/>
                <w:sz w:val="20"/>
              </w:rPr>
              <w:t>Version</w:t>
            </w:r>
          </w:p>
        </w:tc>
        <w:tc>
          <w:tcPr>
            <w:tcW w:w="2592" w:type="dxa"/>
            <w:vAlign w:val="center"/>
            <w:tcBorders>
              <w:top w:val="single" w:color="D6C5CF" w:sz="4"/>
              <w:left w:val="single" w:color="D6C5CF" w:sz="4"/>
              <w:bottom w:val="single" w:color="D6C5CF" w:sz="4"/>
              <w:right w:val="single" w:color="D6C5CF" w:sz="4"/>
            </w:tcBorders>
          </w:tcPr>
          <w:p w14:paraId="16D79E98" w14:textId="77777777">
            <w:pPr>
              <w:spacing w:before="40" w:after="40"/>
            </w:pPr>
            <w:r>
              <w:rPr>
                <w:rFonts w:ascii="Calibri" w:hAnsi="Calibri"/>
                <w:b w:val="0"/>
                <w:color w:val="2B2B2B"/>
                <w:sz w:val="20"/>
              </w:rPr>
              <w:t>Sample v1.0</w:t>
            </w:r>
          </w:p>
        </w:tc>
      </w:tr>
      <w:tr w14:paraId="0791A2F2" w14:textId="77777777">
        <w:tc>
          <w:tcPr>
            <w:tcW w:w="1872" w:type="dxa"/>
            <w:vAlign w:val="center"/>
            <w:tcBorders>
              <w:top w:val="single" w:color="D6C5CF" w:sz="4"/>
              <w:left w:val="single" w:color="D6C5CF" w:sz="4"/>
              <w:bottom w:val="single" w:color="D6C5CF" w:sz="4"/>
              <w:right w:val="single" w:color="D6C5CF" w:sz="4"/>
            </w:tcBorders>
            <w:shd w:val="clear" w:color="auto" w:fill="EFE3EA"/>
          </w:tcPr>
          <w:p w14:paraId="73169C78" w14:textId="77777777">
            <w:pPr>
              <w:spacing w:before="40" w:after="40"/>
            </w:pPr>
            <w:r>
              <w:rPr>
                <w:rFonts w:ascii="Calibri" w:hAnsi="Calibri"/>
                <w:b/>
                <w:color w:val="5A2A4D"/>
                <w:sz w:val="20"/>
              </w:rPr>
              <w:t>Process Owner</w:t>
            </w:r>
          </w:p>
        </w:tc>
        <w:tc>
          <w:tcPr>
            <w:tcW w:w="3888" w:type="dxa"/>
            <w:vAlign w:val="center"/>
            <w:tcBorders>
              <w:top w:val="single" w:color="D6C5CF" w:sz="4"/>
              <w:left w:val="single" w:color="D6C5CF" w:sz="4"/>
              <w:bottom w:val="single" w:color="D6C5CF" w:sz="4"/>
              <w:right w:val="single" w:color="D6C5CF" w:sz="4"/>
            </w:tcBorders>
          </w:tcPr>
          <w:p w14:paraId="5D45856B" w14:textId="77777777">
            <w:pPr>
              <w:spacing w:before="40" w:after="40"/>
            </w:pPr>
            <w:r>
              <w:rPr>
                <w:rFonts w:ascii="Calibri" w:hAnsi="Calibri"/>
                <w:b w:val="0"/>
                <w:color w:val="2B2B2B"/>
                <w:sz w:val="20"/>
              </w:rPr>
              <w:t>Controller (Fractional CFO)</w:t>
            </w:r>
          </w:p>
        </w:tc>
        <w:tc>
          <w:tcPr>
            <w:tcW w:w="1728" w:type="dxa"/>
            <w:vAlign w:val="center"/>
            <w:tcBorders>
              <w:top w:val="single" w:color="D6C5CF" w:sz="4"/>
              <w:left w:val="single" w:color="D6C5CF" w:sz="4"/>
              <w:bottom w:val="single" w:color="D6C5CF" w:sz="4"/>
              <w:right w:val="single" w:color="D6C5CF" w:sz="4"/>
            </w:tcBorders>
            <w:shd w:val="clear" w:color="auto" w:fill="EFE3EA"/>
          </w:tcPr>
          <w:p w14:paraId="43C58A28" w14:textId="77777777">
            <w:pPr>
              <w:spacing w:before="40" w:after="40"/>
            </w:pPr>
            <w:r>
              <w:rPr>
                <w:rFonts w:ascii="Calibri" w:hAnsi="Calibri"/>
                <w:b/>
                <w:color w:val="5A2A4D"/>
                <w:sz w:val="20"/>
              </w:rPr>
              <w:t>Effective Date</w:t>
            </w:r>
          </w:p>
        </w:tc>
        <w:tc>
          <w:tcPr>
            <w:tcW w:w="2592" w:type="dxa"/>
            <w:vAlign w:val="center"/>
            <w:tcBorders>
              <w:top w:val="single" w:color="D6C5CF" w:sz="4"/>
              <w:left w:val="single" w:color="D6C5CF" w:sz="4"/>
              <w:bottom w:val="single" w:color="D6C5CF" w:sz="4"/>
              <w:right w:val="single" w:color="D6C5CF" w:sz="4"/>
            </w:tcBorders>
          </w:tcPr>
          <w:p w14:paraId="4C7BA179" w14:textId="77777777">
            <w:pPr>
              <w:spacing w:before="40" w:after="40"/>
            </w:pPr>
            <w:r>
              <w:rPr>
                <w:rFonts w:ascii="Calibri" w:hAnsi="Calibri"/>
                <w:b w:val="0"/>
                <w:color w:val="2B2B2B"/>
                <w:sz w:val="20"/>
              </w:rPr>
              <w:t>Sample — training use</w:t>
            </w:r>
          </w:p>
        </w:tc>
      </w:tr>
      <w:tr w14:paraId="2EFCBC29" w14:textId="77777777">
        <w:tc>
          <w:tcPr>
            <w:tcW w:w="1872" w:type="dxa"/>
            <w:vAlign w:val="center"/>
            <w:tcBorders>
              <w:top w:val="single" w:color="D6C5CF" w:sz="4"/>
              <w:left w:val="single" w:color="D6C5CF" w:sz="4"/>
              <w:bottom w:val="single" w:color="D6C5CF" w:sz="4"/>
              <w:right w:val="single" w:color="D6C5CF" w:sz="4"/>
            </w:tcBorders>
            <w:shd w:val="clear" w:color="auto" w:fill="EFE3EA"/>
          </w:tcPr>
          <w:p w14:paraId="0174B1C3" w14:textId="77777777">
            <w:pPr>
              <w:spacing w:before="40" w:after="40"/>
            </w:pPr>
            <w:r>
              <w:rPr>
                <w:rFonts w:ascii="Calibri" w:hAnsi="Calibri"/>
                <w:b/>
                <w:color w:val="5A2A4D"/>
                <w:sz w:val="20"/>
              </w:rPr>
              <w:t>Prepared By</w:t>
            </w:r>
          </w:p>
        </w:tc>
        <w:tc>
          <w:tcPr>
            <w:tcW w:w="3888" w:type="dxa"/>
            <w:vAlign w:val="center"/>
            <w:tcBorders>
              <w:top w:val="single" w:color="D6C5CF" w:sz="4"/>
              <w:left w:val="single" w:color="D6C5CF" w:sz="4"/>
              <w:bottom w:val="single" w:color="D6C5CF" w:sz="4"/>
              <w:right w:val="single" w:color="D6C5CF" w:sz="4"/>
            </w:tcBorders>
          </w:tcPr>
          <w:p w14:paraId="2BB50092" w14:textId="77777777">
            <w:pPr>
              <w:spacing w:before="40" w:after="40"/>
            </w:pPr>
            <w:r>
              <w:rPr>
                <w:rFonts w:ascii="Calibri" w:hAnsi="Calibri"/>
                <w:b w:val="0"/>
                <w:color w:val="2B2B2B"/>
                <w:sz w:val="20"/>
              </w:rPr>
              <w:t>Controller</w:t>
            </w:r>
          </w:p>
        </w:tc>
        <w:tc>
          <w:tcPr>
            <w:tcW w:w="1728" w:type="dxa"/>
            <w:vAlign w:val="center"/>
            <w:tcBorders>
              <w:top w:val="single" w:color="D6C5CF" w:sz="4"/>
              <w:left w:val="single" w:color="D6C5CF" w:sz="4"/>
              <w:bottom w:val="single" w:color="D6C5CF" w:sz="4"/>
              <w:right w:val="single" w:color="D6C5CF" w:sz="4"/>
            </w:tcBorders>
            <w:shd w:val="clear" w:color="auto" w:fill="EFE3EA"/>
          </w:tcPr>
          <w:p w14:paraId="6D94E0FB" w14:textId="77777777">
            <w:pPr>
              <w:spacing w:before="40" w:after="40"/>
            </w:pPr>
            <w:r>
              <w:rPr>
                <w:rFonts w:ascii="Calibri" w:hAnsi="Calibri"/>
                <w:b/>
                <w:color w:val="5A2A4D"/>
                <w:sz w:val="20"/>
              </w:rPr>
              <w:t>Review Cadence</w:t>
            </w:r>
          </w:p>
        </w:tc>
        <w:tc>
          <w:tcPr>
            <w:tcW w:w="2592" w:type="dxa"/>
            <w:vAlign w:val="center"/>
            <w:tcBorders>
              <w:top w:val="single" w:color="D6C5CF" w:sz="4"/>
              <w:left w:val="single" w:color="D6C5CF" w:sz="4"/>
              <w:bottom w:val="single" w:color="D6C5CF" w:sz="4"/>
              <w:right w:val="single" w:color="D6C5CF" w:sz="4"/>
            </w:tcBorders>
          </w:tcPr>
          <w:p w14:paraId="3BB6F73C" w14:textId="77777777">
            <w:pPr>
              <w:spacing w:before="40" w:after="40"/>
            </w:pPr>
            <w:r>
              <w:rPr>
                <w:rFonts w:ascii="Calibri" w:hAnsi="Calibri"/>
                <w:b w:val="0"/>
                <w:color w:val="2B2B2B"/>
                <w:sz w:val="20"/>
              </w:rPr>
              <w:t>Annual, or on process change</w:t>
            </w:r>
          </w:p>
        </w:tc>
      </w:tr>
    </w:tbl>
    <w:p w14:paraId="672A6659" w14:textId="77777777">
      <w:pPr>
        <w:spacing w:before="40" w:after="80"/>
      </w:pPr>
    </w:p>
    <w:p w14:paraId="00A4F70B" w14:textId="77777777">
      <w:pPr>
        <w:spacing w:before="200" w:after="80"/>
      </w:pPr>
      <w:r>
        <w:rPr>
          <w:rFonts w:ascii="Calibri" w:hAnsi="Calibri"/>
          <w:b/>
          <w:color w:val="5A2A4D"/>
          <w:sz w:val="23"/>
        </w:rPr>
        <w:t>1. Purpose</w:t>
      </w:r>
    </w:p>
    <w:p w14:paraId="4D4BDECD" w14:textId="77777777">
      <w:pPr>
        <w:spacing w:before="40" w:after="80"/>
      </w:pPr>
      <w:r>
        <w:rPr>
          <w:rFonts w:ascii="Calibri" w:hAnsi="Calibri"/>
          <w:b w:val="0"/>
          <w:color w:val="2B2B2B"/>
          <w:sz w:val="21"/>
        </w:rPr>
        <w:t>This procedure establishes Controller's ongoing independent review of the Company's internal control environment — what is reviewed, on what cadence, what evidence is retained, and how findings are remediated. It is the mechanism by which the SOP Library is kept live, accurate, and effective.</w:t>
      </w:r>
    </w:p>
    <w:p w14:paraId="6AED66AA" w14:textId="77777777">
      <w:pPr>
        <w:spacing w:before="200" w:after="80"/>
      </w:pPr>
      <w:r>
        <w:rPr>
          <w:rFonts w:ascii="Calibri" w:hAnsi="Calibri"/>
          <w:b/>
          <w:color w:val="5A2A4D"/>
          <w:sz w:val="23"/>
        </w:rPr>
        <w:t>2. Scope</w:t>
      </w:r>
    </w:p>
    <w:p w14:paraId="0C034178" w14:textId="77777777">
      <w:pPr>
        <w:spacing w:before="40" w:after="80"/>
      </w:pPr>
      <w:r>
        <w:rPr>
          <w:rFonts w:ascii="Calibri" w:hAnsi="Calibri"/>
          <w:b w:val="0"/>
          <w:color w:val="2B2B2B"/>
          <w:sz w:val="21"/>
        </w:rPr>
        <w:t>This procedure applies to Controller's monthly oversight review of Company operations across cash, sales, inventory, AP, payroll, banking, reporting, and governance. It complements every SOP in the SOP Library and is the cross-reference for 'Controller performs independent periodic review' language throughout the library.</w:t>
      </w:r>
    </w:p>
    <w:p w14:paraId="51A28A66" w14:textId="77777777">
      <w:pPr>
        <w:spacing w:before="200" w:after="80"/>
      </w:pPr>
      <w:r>
        <w:rPr>
          <w:rFonts w:ascii="Calibri" w:hAnsi="Calibri"/>
          <w:b/>
          <w:color w:val="5A2A4D"/>
          <w:sz w:val="23"/>
        </w:rPr>
        <w:t>3. Definitions</w:t>
      </w:r>
    </w:p>
    <w:tbl>
      <w:tblPr>
        <w:tblW w:w="0" w:type="auto"/>
        <w:tblLayout w:type="fixed"/>
        <w:tblLook w:val="04A0" w:firstRow="1" w:lastRow="0" w:firstColumn="1" w:lastColumn="0" w:noHBand="0" w:noVBand="1"/>
      </w:tblPr>
      <w:tblGrid>
        <w:gridCol w:w="4680"/>
        <w:gridCol w:w="4680"/>
      </w:tblGrid>
      <w:tr w14:paraId="71B366A7" w14:textId="77777777">
        <w:tc>
          <w:tcPr>
            <w:tcW w:w="2880" w:type="dxa"/>
            <w:shd w:val="clear" w:color="auto" w:fill="5A2A4D"/>
            <w:tcBorders>
              <w:top w:val="single" w:color="D6C5CF" w:sz="4"/>
              <w:left w:val="single" w:color="D6C5CF" w:sz="4"/>
              <w:bottom w:val="single" w:color="D6C5CF" w:sz="4"/>
              <w:right w:val="single" w:color="D6C5CF" w:sz="4"/>
            </w:tcBorders>
          </w:tcPr>
          <w:p w14:paraId="0CEB4B25" w14:textId="77777777">
            <w:pPr>
              <w:spacing w:before="60" w:after="60"/>
            </w:pPr>
            <w:r>
              <w:rPr>
                <w:rFonts w:ascii="Calibri" w:hAnsi="Calibri"/>
                <w:b/>
                <w:color w:val="FFFFFF"/>
                <w:sz w:val="21"/>
              </w:rPr>
              <w:t>Term</w:t>
            </w:r>
          </w:p>
        </w:tc>
        <w:tc>
          <w:tcPr>
            <w:tcW w:w="6480" w:type="dxa"/>
            <w:shd w:val="clear" w:color="auto" w:fill="5A2A4D"/>
            <w:tcBorders>
              <w:top w:val="single" w:color="D6C5CF" w:sz="4"/>
              <w:left w:val="single" w:color="D6C5CF" w:sz="4"/>
              <w:bottom w:val="single" w:color="D6C5CF" w:sz="4"/>
              <w:right w:val="single" w:color="D6C5CF" w:sz="4"/>
            </w:tcBorders>
          </w:tcPr>
          <w:p w14:paraId="3DA1D686" w14:textId="77777777">
            <w:pPr>
              <w:spacing w:before="60" w:after="60"/>
            </w:pPr>
            <w:r>
              <w:rPr>
                <w:rFonts w:ascii="Calibri" w:hAnsi="Calibri"/>
                <w:b/>
                <w:color w:val="FFFFFF"/>
                <w:sz w:val="21"/>
              </w:rPr>
              <w:t>Definition</w:t>
            </w:r>
          </w:p>
        </w:tc>
      </w:tr>
      <w:tr w14:paraId="11645C87" w14:textId="77777777">
        <w:tc>
          <w:tcPr>
            <w:tcW w:w="2880" w:type="dxa"/>
            <w:vAlign w:val="top"/>
            <w:tcBorders>
              <w:top w:val="single" w:color="D6C5CF" w:sz="4"/>
              <w:left w:val="single" w:color="D6C5CF" w:sz="4"/>
              <w:bottom w:val="single" w:color="D6C5CF" w:sz="4"/>
              <w:right w:val="single" w:color="D6C5CF" w:sz="4"/>
            </w:tcBorders>
          </w:tcPr>
          <w:p w14:paraId="6D0D3961" w14:textId="77777777">
            <w:pPr>
              <w:spacing w:before="60" w:after="60"/>
            </w:pPr>
            <w:r>
              <w:rPr>
                <w:rFonts w:ascii="Calibri" w:hAnsi="Calibri"/>
                <w:b/>
                <w:color w:val="2B2B2B"/>
                <w:sz w:val="20"/>
              </w:rPr>
              <w:t>Oversight Review</w:t>
            </w:r>
          </w:p>
        </w:tc>
        <w:tc>
          <w:tcPr>
            <w:tcW w:w="6480" w:type="dxa"/>
            <w:vAlign w:val="top"/>
            <w:tcBorders>
              <w:top w:val="single" w:color="D6C5CF" w:sz="4"/>
              <w:left w:val="single" w:color="D6C5CF" w:sz="4"/>
              <w:bottom w:val="single" w:color="D6C5CF" w:sz="4"/>
              <w:right w:val="single" w:color="D6C5CF" w:sz="4"/>
            </w:tcBorders>
          </w:tcPr>
          <w:p w14:paraId="34692697" w14:textId="77777777">
            <w:pPr>
              <w:spacing w:before="60" w:after="60"/>
            </w:pPr>
            <w:r>
              <w:rPr>
                <w:rFonts w:ascii="Calibri" w:hAnsi="Calibri"/>
                <w:b w:val="0"/>
                <w:color w:val="2B2B2B"/>
                <w:sz w:val="20"/>
              </w:rPr>
              <w:t>Controller's structured monthly examination of control evidence — reconciliations, approvals, signed records, exceptions — produced under the program SOPs.</w:t>
            </w:r>
          </w:p>
        </w:tc>
      </w:tr>
      <w:tr w14:paraId="6CB9550A" w14:textId="77777777">
        <w:tc>
          <w:tcPr>
            <w:tcW w:w="2880" w:type="dxa"/>
            <w:vAlign w:val="top"/>
            <w:tcBorders>
              <w:top w:val="single" w:color="D6C5CF" w:sz="4"/>
              <w:left w:val="single" w:color="D6C5CF" w:sz="4"/>
              <w:bottom w:val="single" w:color="D6C5CF" w:sz="4"/>
              <w:right w:val="single" w:color="D6C5CF" w:sz="4"/>
            </w:tcBorders>
          </w:tcPr>
          <w:p w14:paraId="3C6F3B20" w14:textId="77777777">
            <w:pPr>
              <w:spacing w:before="60" w:after="60"/>
            </w:pPr>
            <w:r>
              <w:rPr>
                <w:rFonts w:ascii="Calibri" w:hAnsi="Calibri"/>
                <w:b/>
                <w:color w:val="2B2B2B"/>
                <w:sz w:val="20"/>
              </w:rPr>
              <w:t>Findings Log</w:t>
            </w:r>
          </w:p>
        </w:tc>
        <w:tc>
          <w:tcPr>
            <w:tcW w:w="6480" w:type="dxa"/>
            <w:vAlign w:val="top"/>
            <w:tcBorders>
              <w:top w:val="single" w:color="D6C5CF" w:sz="4"/>
              <w:left w:val="single" w:color="D6C5CF" w:sz="4"/>
              <w:bottom w:val="single" w:color="D6C5CF" w:sz="4"/>
              <w:right w:val="single" w:color="D6C5CF" w:sz="4"/>
            </w:tcBorders>
          </w:tcPr>
          <w:p w14:paraId="066B1A1F" w14:textId="77777777">
            <w:pPr>
              <w:spacing w:before="60" w:after="60"/>
            </w:pPr>
            <w:r>
              <w:rPr>
                <w:rFonts w:ascii="Calibri" w:hAnsi="Calibri"/>
                <w:b w:val="0"/>
                <w:color w:val="2B2B2B"/>
                <w:sz w:val="20"/>
              </w:rPr>
              <w:t>The cumulative record of control deficiencies identified through Oversight Reviews, with status, owner, and target remediation date.</w:t>
            </w:r>
          </w:p>
        </w:tc>
      </w:tr>
      <w:tr w14:paraId="2A38EB39" w14:textId="77777777">
        <w:tc>
          <w:tcPr>
            <w:tcW w:w="2880" w:type="dxa"/>
            <w:vAlign w:val="top"/>
            <w:tcBorders>
              <w:top w:val="single" w:color="D6C5CF" w:sz="4"/>
              <w:left w:val="single" w:color="D6C5CF" w:sz="4"/>
              <w:bottom w:val="single" w:color="D6C5CF" w:sz="4"/>
              <w:right w:val="single" w:color="D6C5CF" w:sz="4"/>
            </w:tcBorders>
          </w:tcPr>
          <w:p w14:paraId="760C19D0" w14:textId="77777777">
            <w:pPr>
              <w:spacing w:before="60" w:after="60"/>
            </w:pPr>
            <w:r>
              <w:rPr>
                <w:rFonts w:ascii="Calibri" w:hAnsi="Calibri"/>
                <w:b/>
                <w:color w:val="2B2B2B"/>
                <w:sz w:val="20"/>
              </w:rPr>
              <w:t>Attestation</w:t>
            </w:r>
          </w:p>
        </w:tc>
        <w:tc>
          <w:tcPr>
            <w:tcW w:w="6480" w:type="dxa"/>
            <w:vAlign w:val="top"/>
            <w:tcBorders>
              <w:top w:val="single" w:color="D6C5CF" w:sz="4"/>
              <w:left w:val="single" w:color="D6C5CF" w:sz="4"/>
              <w:bottom w:val="single" w:color="D6C5CF" w:sz="4"/>
              <w:right w:val="single" w:color="D6C5CF" w:sz="4"/>
            </w:tcBorders>
          </w:tcPr>
          <w:p w14:paraId="7AD684E3" w14:textId="77777777">
            <w:pPr>
              <w:spacing w:before="60" w:after="60"/>
            </w:pPr>
            <w:r>
              <w:rPr>
                <w:rFonts w:ascii="Calibri" w:hAnsi="Calibri"/>
                <w:b w:val="0"/>
                <w:color w:val="2B2B2B"/>
                <w:sz w:val="20"/>
              </w:rPr>
              <w:t>Controller's signed summary, included with the monthly close package, on the effectiveness of the reviewed controls and on open findings.</w:t>
            </w:r>
          </w:p>
        </w:tc>
      </w:tr>
      <w:tr w14:paraId="4DA322B7" w14:textId="77777777">
        <w:tc>
          <w:tcPr>
            <w:tcW w:w="2880" w:type="dxa"/>
            <w:vAlign w:val="top"/>
            <w:tcBorders>
              <w:top w:val="single" w:color="D6C5CF" w:sz="4"/>
              <w:left w:val="single" w:color="D6C5CF" w:sz="4"/>
              <w:bottom w:val="single" w:color="D6C5CF" w:sz="4"/>
              <w:right w:val="single" w:color="D6C5CF" w:sz="4"/>
            </w:tcBorders>
          </w:tcPr>
          <w:p w14:paraId="54A9DAC6" w14:textId="77777777">
            <w:pPr>
              <w:spacing w:before="60" w:after="60"/>
            </w:pPr>
            <w:r>
              <w:rPr>
                <w:rFonts w:ascii="Calibri" w:hAnsi="Calibri"/>
                <w:b/>
                <w:color w:val="2B2B2B"/>
                <w:sz w:val="20"/>
              </w:rPr>
              <w:t>Walkthrough</w:t>
            </w:r>
          </w:p>
        </w:tc>
        <w:tc>
          <w:tcPr>
            <w:tcW w:w="6480" w:type="dxa"/>
            <w:vAlign w:val="top"/>
            <w:tcBorders>
              <w:top w:val="single" w:color="D6C5CF" w:sz="4"/>
              <w:left w:val="single" w:color="D6C5CF" w:sz="4"/>
              <w:bottom w:val="single" w:color="D6C5CF" w:sz="4"/>
              <w:right w:val="single" w:color="D6C5CF" w:sz="4"/>
            </w:tcBorders>
          </w:tcPr>
          <w:p w14:paraId="092BC19E" w14:textId="77777777">
            <w:pPr>
              <w:spacing w:before="60" w:after="60"/>
            </w:pPr>
            <w:r>
              <w:rPr>
                <w:rFonts w:ascii="Calibri" w:hAnsi="Calibri"/>
                <w:b w:val="0"/>
                <w:color w:val="2B2B2B"/>
                <w:sz w:val="20"/>
              </w:rPr>
              <w:t>An end-to-end test of a single process by tracing a representative transaction through every control point.</w:t>
            </w:r>
          </w:p>
        </w:tc>
      </w:tr>
    </w:tbl>
    <w:p w14:paraId="239FBACD" w14:textId="77777777">
      <w:pPr>
        <w:spacing w:before="200" w:after="80"/>
      </w:pPr>
      <w:r>
        <w:rPr>
          <w:rFonts w:ascii="Calibri" w:hAnsi="Calibri"/>
          <w:b/>
          <w:color w:val="5A2A4D"/>
          <w:sz w:val="23"/>
        </w:rPr>
        <w:t>4. Roles &amp; Responsibilities</w:t>
      </w:r>
    </w:p>
    <w:tbl>
      <w:tblPr>
        <w:tblW w:w="0" w:type="auto"/>
        <w:tblLayout w:type="fixed"/>
        <w:tblLook w:val="04A0" w:firstRow="1" w:lastRow="0" w:firstColumn="1" w:lastColumn="0" w:noHBand="0" w:noVBand="1"/>
      </w:tblPr>
      <w:tblGrid>
        <w:gridCol w:w="4680"/>
        <w:gridCol w:w="4680"/>
      </w:tblGrid>
      <w:tr w14:paraId="64F964B9" w14:textId="77777777">
        <w:tc>
          <w:tcPr>
            <w:tcW w:w="2880" w:type="dxa"/>
            <w:shd w:val="clear" w:color="auto" w:fill="5A2A4D"/>
            <w:tcBorders>
              <w:top w:val="single" w:color="D6C5CF" w:sz="4"/>
              <w:left w:val="single" w:color="D6C5CF" w:sz="4"/>
              <w:bottom w:val="single" w:color="D6C5CF" w:sz="4"/>
              <w:right w:val="single" w:color="D6C5CF" w:sz="4"/>
            </w:tcBorders>
          </w:tcPr>
          <w:p w14:paraId="7810568A" w14:textId="77777777">
            <w:pPr>
              <w:spacing w:before="60" w:after="60"/>
            </w:pPr>
            <w:r>
              <w:rPr>
                <w:rFonts w:ascii="Calibri" w:hAnsi="Calibri"/>
                <w:b/>
                <w:color w:val="FFFFFF"/>
                <w:sz w:val="21"/>
              </w:rPr>
              <w:t>Role</w:t>
            </w:r>
          </w:p>
        </w:tc>
        <w:tc>
          <w:tcPr>
            <w:tcW w:w="6480" w:type="dxa"/>
            <w:shd w:val="clear" w:color="auto" w:fill="5A2A4D"/>
            <w:tcBorders>
              <w:top w:val="single" w:color="D6C5CF" w:sz="4"/>
              <w:left w:val="single" w:color="D6C5CF" w:sz="4"/>
              <w:bottom w:val="single" w:color="D6C5CF" w:sz="4"/>
              <w:right w:val="single" w:color="D6C5CF" w:sz="4"/>
            </w:tcBorders>
          </w:tcPr>
          <w:p w14:paraId="0719A626" w14:textId="77777777">
            <w:pPr>
              <w:spacing w:before="60" w:after="60"/>
            </w:pPr>
            <w:r>
              <w:rPr>
                <w:rFonts w:ascii="Calibri" w:hAnsi="Calibri"/>
                <w:b/>
                <w:color w:val="FFFFFF"/>
                <w:sz w:val="21"/>
              </w:rPr>
              <w:t>Responsibility</w:t>
            </w:r>
          </w:p>
        </w:tc>
      </w:tr>
      <w:tr w14:paraId="005EE7F4" w14:textId="77777777">
        <w:tc>
          <w:tcPr>
            <w:tcW w:w="2880" w:type="dxa"/>
            <w:vAlign w:val="top"/>
            <w:tcBorders>
              <w:top w:val="single" w:color="D6C5CF" w:sz="4"/>
              <w:left w:val="single" w:color="D6C5CF" w:sz="4"/>
              <w:bottom w:val="single" w:color="D6C5CF" w:sz="4"/>
              <w:right w:val="single" w:color="D6C5CF" w:sz="4"/>
            </w:tcBorders>
          </w:tcPr>
          <w:p w14:paraId="63CD3B47" w14:textId="77777777">
            <w:pPr>
              <w:spacing w:before="60" w:after="60"/>
            </w:pPr>
            <w:r>
              <w:rPr>
                <w:rFonts w:ascii="Calibri" w:hAnsi="Calibri"/>
                <w:b/>
                <w:color w:val="2B2B2B"/>
                <w:sz w:val="20"/>
              </w:rPr>
              <w:t>Controller (Fractional CFO)</w:t>
            </w:r>
          </w:p>
        </w:tc>
        <w:tc>
          <w:tcPr>
            <w:tcW w:w="6480" w:type="dxa"/>
            <w:vAlign w:val="top"/>
            <w:tcBorders>
              <w:top w:val="single" w:color="D6C5CF" w:sz="4"/>
              <w:left w:val="single" w:color="D6C5CF" w:sz="4"/>
              <w:bottom w:val="single" w:color="D6C5CF" w:sz="4"/>
              <w:right w:val="single" w:color="D6C5CF" w:sz="4"/>
            </w:tcBorders>
          </w:tcPr>
          <w:p w14:paraId="5A67961C" w14:textId="77777777">
            <w:pPr>
              <w:spacing w:before="60" w:after="60"/>
            </w:pPr>
            <w:r>
              <w:rPr>
                <w:rFonts w:ascii="Calibri" w:hAnsi="Calibri"/>
                <w:b w:val="0"/>
                <w:color w:val="2B2B2B"/>
                <w:sz w:val="20"/>
              </w:rPr>
              <w:t>Owns this procedure; performs the Oversight Review; signs the Attestation.</w:t>
            </w:r>
          </w:p>
        </w:tc>
      </w:tr>
      <w:tr w14:paraId="37E4EC15" w14:textId="77777777">
        <w:tc>
          <w:tcPr>
            <w:tcW w:w="2880" w:type="dxa"/>
            <w:vAlign w:val="top"/>
            <w:tcBorders>
              <w:top w:val="single" w:color="D6C5CF" w:sz="4"/>
              <w:left w:val="single" w:color="D6C5CF" w:sz="4"/>
              <w:bottom w:val="single" w:color="D6C5CF" w:sz="4"/>
              <w:right w:val="single" w:color="D6C5CF" w:sz="4"/>
            </w:tcBorders>
          </w:tcPr>
          <w:p w14:paraId="1DC409C6" w14:textId="77777777">
            <w:pPr>
              <w:spacing w:before="60" w:after="60"/>
            </w:pPr>
            <w:r>
              <w:rPr>
                <w:rFonts w:ascii="Calibri" w:hAnsi="Calibri"/>
                <w:b/>
                <w:color w:val="2B2B2B"/>
                <w:sz w:val="20"/>
              </w:rPr>
              <w:t>Accounting</w:t>
            </w:r>
          </w:p>
        </w:tc>
        <w:tc>
          <w:tcPr>
            <w:tcW w:w="6480" w:type="dxa"/>
            <w:vAlign w:val="top"/>
            <w:tcBorders>
              <w:top w:val="single" w:color="D6C5CF" w:sz="4"/>
              <w:left w:val="single" w:color="D6C5CF" w:sz="4"/>
              <w:bottom w:val="single" w:color="D6C5CF" w:sz="4"/>
              <w:right w:val="single" w:color="D6C5CF" w:sz="4"/>
            </w:tcBorders>
          </w:tcPr>
          <w:p w14:paraId="0AC9436C" w14:textId="77777777">
            <w:pPr>
              <w:spacing w:before="60" w:after="60"/>
            </w:pPr>
            <w:r>
              <w:rPr>
                <w:rFonts w:ascii="Calibri" w:hAnsi="Calibri"/>
                <w:b w:val="0"/>
                <w:color w:val="2B2B2B"/>
                <w:sz w:val="20"/>
              </w:rPr>
              <w:t>Provides control evidence; remediates findings within agreed dates.</w:t>
            </w:r>
          </w:p>
        </w:tc>
      </w:tr>
      <w:tr w14:paraId="473588F2" w14:textId="77777777">
        <w:tc>
          <w:tcPr>
            <w:tcW w:w="2880" w:type="dxa"/>
            <w:vAlign w:val="top"/>
            <w:tcBorders>
              <w:top w:val="single" w:color="D6C5CF" w:sz="4"/>
              <w:left w:val="single" w:color="D6C5CF" w:sz="4"/>
              <w:bottom w:val="single" w:color="D6C5CF" w:sz="4"/>
              <w:right w:val="single" w:color="D6C5CF" w:sz="4"/>
            </w:tcBorders>
          </w:tcPr>
          <w:p w14:paraId="468A569D" w14:textId="77777777">
            <w:pPr>
              <w:spacing w:before="60" w:after="60"/>
            </w:pPr>
            <w:r>
              <w:rPr>
                <w:rFonts w:ascii="Calibri" w:hAnsi="Calibri"/>
                <w:b/>
                <w:color w:val="2B2B2B"/>
                <w:sz w:val="20"/>
              </w:rPr>
              <w:t>Owner</w:t>
            </w:r>
          </w:p>
        </w:tc>
        <w:tc>
          <w:tcPr>
            <w:tcW w:w="6480" w:type="dxa"/>
            <w:vAlign w:val="top"/>
            <w:tcBorders>
              <w:top w:val="single" w:color="D6C5CF" w:sz="4"/>
              <w:left w:val="single" w:color="D6C5CF" w:sz="4"/>
              <w:bottom w:val="single" w:color="D6C5CF" w:sz="4"/>
              <w:right w:val="single" w:color="D6C5CF" w:sz="4"/>
            </w:tcBorders>
          </w:tcPr>
          <w:p w14:paraId="0F6331B3" w14:textId="77777777">
            <w:pPr>
              <w:spacing w:before="60" w:after="60"/>
            </w:pPr>
            <w:r>
              <w:rPr>
                <w:rFonts w:ascii="Calibri" w:hAnsi="Calibri"/>
                <w:b w:val="0"/>
                <w:color w:val="2B2B2B"/>
                <w:sz w:val="20"/>
              </w:rPr>
              <w:t>Receives the Attestation and the Findings Log; approves significant remediation; sets risk tolerance.</w:t>
            </w:r>
          </w:p>
        </w:tc>
      </w:tr>
      <w:tr w14:paraId="11F2A18C" w14:textId="77777777">
        <w:tc>
          <w:tcPr>
            <w:tcW w:w="2880" w:type="dxa"/>
            <w:vAlign w:val="top"/>
            <w:tcBorders>
              <w:top w:val="single" w:color="D6C5CF" w:sz="4"/>
              <w:left w:val="single" w:color="D6C5CF" w:sz="4"/>
              <w:bottom w:val="single" w:color="D6C5CF" w:sz="4"/>
              <w:right w:val="single" w:color="D6C5CF" w:sz="4"/>
            </w:tcBorders>
          </w:tcPr>
          <w:p w14:paraId="598B0057" w14:textId="77777777">
            <w:pPr>
              <w:spacing w:before="60" w:after="60"/>
            </w:pPr>
            <w:r>
              <w:rPr>
                <w:rFonts w:ascii="Calibri" w:hAnsi="Calibri"/>
                <w:b/>
                <w:color w:val="2B2B2B"/>
                <w:sz w:val="20"/>
              </w:rPr>
              <w:t>Operations Leads</w:t>
            </w:r>
          </w:p>
        </w:tc>
        <w:tc>
          <w:tcPr>
            <w:tcW w:w="6480" w:type="dxa"/>
            <w:vAlign w:val="top"/>
            <w:tcBorders>
              <w:top w:val="single" w:color="D6C5CF" w:sz="4"/>
              <w:left w:val="single" w:color="D6C5CF" w:sz="4"/>
              <w:bottom w:val="single" w:color="D6C5CF" w:sz="4"/>
              <w:right w:val="single" w:color="D6C5CF" w:sz="4"/>
            </w:tcBorders>
          </w:tcPr>
          <w:p w14:paraId="16903427" w14:textId="77777777">
            <w:pPr>
              <w:spacing w:before="60" w:after="60"/>
            </w:pPr>
            <w:r>
              <w:rPr>
                <w:rFonts w:ascii="Calibri" w:hAnsi="Calibri"/>
                <w:b w:val="0"/>
                <w:color w:val="2B2B2B"/>
                <w:sz w:val="20"/>
              </w:rPr>
              <w:t>Remediate operational findings within agreed dates; participate in walkthroughs.</w:t>
            </w:r>
          </w:p>
        </w:tc>
      </w:tr>
    </w:tbl>
    <w:p w14:paraId="355FA1DD" w14:textId="77777777">
      <w:pPr>
        <w:spacing w:before="200" w:after="80"/>
      </w:pPr>
      <w:r>
        <w:rPr>
          <w:rFonts w:ascii="Calibri" w:hAnsi="Calibri"/>
          <w:b/>
          <w:color w:val="5A2A4D"/>
          <w:sz w:val="23"/>
        </w:rPr>
        <w:t>5. Procedure</w:t>
      </w:r>
    </w:p>
    <w:p w14:paraId="7312CC51" w14:textId="77777777">
      <w:pPr>
        <w:spacing w:before="120" w:after="60"/>
      </w:pPr>
      <w:r>
        <w:rPr>
          <w:rFonts w:ascii="Calibri" w:hAnsi="Calibri"/>
          <w:b/>
          <w:color w:val="5A2A4D"/>
          <w:sz w:val="20"/>
        </w:rPr>
        <w:t>A. Monthly Cadence</w:t>
      </w:r>
    </w:p>
    <w:p w14:paraId="2A405C6D" w14:textId="77777777">
      <w:pPr>
        <w:pStyle w:val="ListBullet"/>
        <w:spacing w:before="20" w:after="40"/>
      </w:pPr>
      <w:r>
        <w:rPr>
          <w:rFonts w:ascii="Calibri" w:hAnsi="Calibri"/>
          <w:b w:val="0"/>
          <w:color w:val="2B2B2B"/>
          <w:sz w:val="19"/>
        </w:rPr>
        <w:t>Controller performs the Oversight Review concurrent with the monthly close (SOP 17).</w:t>
      </w:r>
    </w:p>
    <w:p w14:paraId="3706B9FE" w14:textId="77777777">
      <w:pPr>
        <w:pStyle w:val="ListBullet"/>
        <w:spacing w:before="20" w:after="40"/>
      </w:pPr>
      <w:r>
        <w:rPr>
          <w:rFonts w:ascii="Calibri" w:hAnsi="Calibri"/>
          <w:b w:val="0"/>
          <w:color w:val="2B2B2B"/>
          <w:sz w:val="19"/>
        </w:rPr>
        <w:t>Review scope covers: cash and sales (SOPs 01, 03, 02); banking (SOP 04); AP and purchasing (SOPs 05, 07, 08); inventory and track-and-trace system (SOPs 11, 12, 13); vendors (SOP 06); payroll (SOP 09); accounting close, reconciliations, JEs, reporting (SOPs 17, 10, 15, 18, 14); governance (SOPs 16, 19).</w:t>
      </w:r>
    </w:p>
    <w:p w14:paraId="476A6685" w14:textId="77777777">
      <w:pPr>
        <w:pStyle w:val="ListBullet"/>
        <w:spacing w:before="20" w:after="40"/>
      </w:pPr>
      <w:r>
        <w:rPr>
          <w:rFonts w:ascii="Calibri" w:hAnsi="Calibri"/>
          <w:b w:val="0"/>
          <w:color w:val="2B2B2B"/>
          <w:sz w:val="19"/>
        </w:rPr>
        <w:t>Sampling: each cycle, Controller samples a defined number of transactions in each domain — e.g., five drawer closes, five deposits, five JEs, five AP payments, three receiving events, three adjustments.</w:t>
      </w:r>
    </w:p>
    <w:p w14:paraId="63B0E0B6" w14:textId="77777777">
      <w:pPr>
        <w:spacing w:before="120" w:after="60"/>
      </w:pPr>
      <w:r>
        <w:rPr>
          <w:rFonts w:ascii="Calibri" w:hAnsi="Calibri"/>
          <w:b/>
          <w:color w:val="5A2A4D"/>
          <w:sz w:val="20"/>
        </w:rPr>
        <w:t>B. Evidence Review</w:t>
      </w:r>
    </w:p>
    <w:p w14:paraId="55A56CFF" w14:textId="77777777">
      <w:pPr>
        <w:pStyle w:val="ListBullet"/>
        <w:spacing w:before="20" w:after="40"/>
      </w:pPr>
      <w:r>
        <w:rPr>
          <w:rFonts w:ascii="Calibri" w:hAnsi="Calibri"/>
          <w:b w:val="0"/>
          <w:color w:val="2B2B2B"/>
          <w:sz w:val="19"/>
        </w:rPr>
        <w:t>Controller confirms approvals, signatures, segregation, dual control, and reconciliation completeness against the SOP requirement.</w:t>
      </w:r>
    </w:p>
    <w:p w14:paraId="2417F765" w14:textId="77777777">
      <w:pPr>
        <w:pStyle w:val="ListBullet"/>
        <w:spacing w:before="20" w:after="40"/>
      </w:pPr>
      <w:r>
        <w:rPr>
          <w:rFonts w:ascii="Calibri" w:hAnsi="Calibri"/>
          <w:b w:val="0"/>
          <w:color w:val="2B2B2B"/>
          <w:sz w:val="19"/>
        </w:rPr>
        <w:t>Findings — missing approvals, segregation breaks, late reconciliations, pattern variances — are logged with reference to the SOP and the transaction.</w:t>
      </w:r>
    </w:p>
    <w:p w14:paraId="52D7A081" w14:textId="77777777">
      <w:pPr>
        <w:pStyle w:val="ListBullet"/>
        <w:spacing w:before="20" w:after="40"/>
      </w:pPr>
      <w:r>
        <w:rPr>
          <w:rFonts w:ascii="Calibri" w:hAnsi="Calibri"/>
          <w:b w:val="0"/>
          <w:color w:val="2B2B2B"/>
          <w:sz w:val="19"/>
        </w:rPr>
        <w:t>Repeat findings escalate in severity each cycle.</w:t>
      </w:r>
    </w:p>
    <w:p w14:paraId="3B8172A4" w14:textId="77777777">
      <w:pPr>
        <w:spacing w:before="120" w:after="60"/>
      </w:pPr>
      <w:r>
        <w:rPr>
          <w:rFonts w:ascii="Calibri" w:hAnsi="Calibri"/>
          <w:b/>
          <w:color w:val="5A2A4D"/>
          <w:sz w:val="20"/>
        </w:rPr>
        <w:t>C. Walkthroughs</w:t>
      </w:r>
    </w:p>
    <w:p w14:paraId="3549182A" w14:textId="77777777">
      <w:pPr>
        <w:pStyle w:val="ListBullet"/>
        <w:spacing w:before="20" w:after="40"/>
      </w:pPr>
      <w:r>
        <w:rPr>
          <w:rFonts w:ascii="Calibri" w:hAnsi="Calibri"/>
          <w:b w:val="0"/>
          <w:color w:val="2B2B2B"/>
          <w:sz w:val="19"/>
        </w:rPr>
        <w:t>On a rotating basis, Controller performs an end-to-end walkthrough of one process per quarter (cash from drawer to deposit; inventory from manifest to destruction; AP from vendor onboarding to payment).</w:t>
      </w:r>
    </w:p>
    <w:p w14:paraId="79F55A70" w14:textId="77777777">
      <w:pPr>
        <w:pStyle w:val="ListBullet"/>
        <w:spacing w:before="20" w:after="40"/>
      </w:pPr>
      <w:r>
        <w:rPr>
          <w:rFonts w:ascii="Calibri" w:hAnsi="Calibri"/>
          <w:b w:val="0"/>
          <w:color w:val="2B2B2B"/>
          <w:sz w:val="19"/>
        </w:rPr>
        <w:t>Walkthrough findings are added to the Findings Log and discussed with Owner.</w:t>
      </w:r>
    </w:p>
    <w:p w14:paraId="3187DDE7" w14:textId="77777777">
      <w:pPr>
        <w:spacing w:before="120" w:after="60"/>
      </w:pPr>
      <w:r>
        <w:rPr>
          <w:rFonts w:ascii="Calibri" w:hAnsi="Calibri"/>
          <w:b/>
          <w:color w:val="5A2A4D"/>
          <w:sz w:val="20"/>
        </w:rPr>
        <w:t>D. Findings &amp; Remediation</w:t>
      </w:r>
    </w:p>
    <w:p w14:paraId="486E486E" w14:textId="77777777">
      <w:pPr>
        <w:pStyle w:val="ListBullet"/>
        <w:spacing w:before="20" w:after="40"/>
      </w:pPr>
      <w:r>
        <w:rPr>
          <w:rFonts w:ascii="Calibri" w:hAnsi="Calibri"/>
          <w:b w:val="0"/>
          <w:color w:val="2B2B2B"/>
          <w:sz w:val="19"/>
        </w:rPr>
        <w:t>Findings are recorded in the Findings Log with severity (low / moderate / high / critical), owner, and target remediation date.</w:t>
      </w:r>
    </w:p>
    <w:p w14:paraId="3D896801" w14:textId="77777777">
      <w:pPr>
        <w:pStyle w:val="ListBullet"/>
        <w:spacing w:before="20" w:after="40"/>
      </w:pPr>
      <w:r>
        <w:rPr>
          <w:rFonts w:ascii="Calibri" w:hAnsi="Calibri"/>
          <w:b w:val="0"/>
          <w:color w:val="2B2B2B"/>
          <w:sz w:val="19"/>
        </w:rPr>
        <w:t>Critical findings (suspected fraud, material control failure, regulatory exposure) are escalated to Owner the same business day.</w:t>
      </w:r>
    </w:p>
    <w:p w14:paraId="3D2E2848" w14:textId="77777777">
      <w:pPr>
        <w:pStyle w:val="ListBullet"/>
        <w:spacing w:before="20" w:after="40"/>
      </w:pPr>
      <w:r>
        <w:rPr>
          <w:rFonts w:ascii="Calibri" w:hAnsi="Calibri"/>
          <w:b w:val="0"/>
          <w:color w:val="2B2B2B"/>
          <w:sz w:val="19"/>
        </w:rPr>
        <w:t>Open findings are reviewed monthly; aging findings escalate.</w:t>
      </w:r>
    </w:p>
    <w:p w14:paraId="4B250AB9" w14:textId="77777777">
      <w:pPr>
        <w:spacing w:before="120" w:after="60"/>
      </w:pPr>
      <w:r>
        <w:rPr>
          <w:rFonts w:ascii="Calibri" w:hAnsi="Calibri"/>
          <w:b/>
          <w:color w:val="5A2A4D"/>
          <w:sz w:val="20"/>
        </w:rPr>
        <w:t>E. Attestation</w:t>
      </w:r>
    </w:p>
    <w:p w14:paraId="65DAADAF" w14:textId="77777777">
      <w:pPr>
        <w:pStyle w:val="ListBullet"/>
        <w:spacing w:before="20" w:after="40"/>
      </w:pPr>
      <w:r>
        <w:rPr>
          <w:rFonts w:ascii="Calibri" w:hAnsi="Calibri"/>
          <w:b w:val="0"/>
          <w:color w:val="2B2B2B"/>
          <w:sz w:val="19"/>
        </w:rPr>
        <w:t>Controller signs a monthly Attestation summarizing review scope, sample sizes, findings, remediation status, and an overall control-environment view.</w:t>
      </w:r>
    </w:p>
    <w:p w14:paraId="1F82C02B" w14:textId="77777777">
      <w:pPr>
        <w:pStyle w:val="ListBullet"/>
        <w:spacing w:before="20" w:after="40"/>
      </w:pPr>
      <w:r>
        <w:rPr>
          <w:rFonts w:ascii="Calibri" w:hAnsi="Calibri"/>
          <w:b w:val="0"/>
          <w:color w:val="2B2B2B"/>
          <w:sz w:val="19"/>
        </w:rPr>
        <w:t>The Attestation is included in the monthly close package per SOP 17 and filed to document management system (13_Governance / 07_Oversight &amp; Attestations).</w:t>
      </w:r>
    </w:p>
    <w:p w14:paraId="08B7DBC7" w14:textId="77777777">
      <w:pPr>
        <w:spacing w:before="120" w:after="60"/>
      </w:pPr>
      <w:r>
        <w:rPr>
          <w:rFonts w:ascii="Calibri" w:hAnsi="Calibri"/>
          <w:b/>
          <w:color w:val="5A2A4D"/>
          <w:sz w:val="20"/>
        </w:rPr>
        <w:t>F. Annual Controls Review</w:t>
      </w:r>
    </w:p>
    <w:p w14:paraId="12FAA9C7" w14:textId="77777777">
      <w:pPr>
        <w:pStyle w:val="ListBullet"/>
        <w:spacing w:before="20" w:after="40"/>
      </w:pPr>
      <w:r>
        <w:rPr>
          <w:rFonts w:ascii="Calibri" w:hAnsi="Calibri"/>
          <w:b w:val="0"/>
          <w:color w:val="2B2B2B"/>
          <w:sz w:val="19"/>
        </w:rPr>
        <w:t>Annually, Controller performs a full Controls Environment Review with Owner, covering: SOP currency, control design, control operation, findings history, and proposed updates to the Permission Matrix, Authorization Schedule, and Retention Schedule.</w:t>
      </w:r>
    </w:p>
    <w:p w14:paraId="20A52C36" w14:textId="77777777">
      <w:pPr>
        <w:spacing w:before="120" w:after="80"/>
      </w:pPr>
      <w:r>
        <w:rPr>
          <w:rFonts w:ascii="Calibri" w:hAnsi="Calibri"/>
          <w:b w:val="0"/>
          <w:color w:val="707070"/>
          <w:sz w:val="17"/>
        </w:rPr>
        <w:t>Sample sizes, walkthrough rotation, and severity thresholds are set by Controller and calibrated as the operation matures. Initial sample sizes are intentionally modest during pre-opening and scale up post-opening.</w:t>
      </w:r>
    </w:p>
    <w:p w14:paraId="458B6743" w14:textId="77777777">
      <w:pPr>
        <w:spacing w:before="200" w:after="80"/>
      </w:pPr>
      <w:r>
        <w:rPr>
          <w:rFonts w:ascii="Calibri" w:hAnsi="Calibri"/>
          <w:b/>
          <w:color w:val="5A2A4D"/>
          <w:sz w:val="23"/>
        </w:rPr>
        <w:t>6. Internal Controls</w:t>
      </w:r>
    </w:p>
    <w:p w14:paraId="66FCB183" w14:textId="77777777">
      <w:pPr>
        <w:pStyle w:val="ListBullet"/>
        <w:spacing w:before="20" w:after="40"/>
      </w:pPr>
      <w:r>
        <w:rPr>
          <w:rFonts w:ascii="Calibri" w:hAnsi="Calibri"/>
          <w:b w:val="0"/>
          <w:color w:val="2B2B2B"/>
          <w:sz w:val="19"/>
        </w:rPr>
        <w:t>Monthly independent Oversight Review by Controller, in writing.</w:t>
      </w:r>
    </w:p>
    <w:p w14:paraId="1FABE035" w14:textId="77777777">
      <w:pPr>
        <w:pStyle w:val="ListBullet"/>
        <w:spacing w:before="20" w:after="40"/>
      </w:pPr>
      <w:r>
        <w:rPr>
          <w:rFonts w:ascii="Calibri" w:hAnsi="Calibri"/>
          <w:b w:val="0"/>
          <w:color w:val="2B2B2B"/>
          <w:sz w:val="19"/>
        </w:rPr>
        <w:t>Sample-based testing across every operational domain.</w:t>
      </w:r>
    </w:p>
    <w:p w14:paraId="46798681" w14:textId="77777777">
      <w:pPr>
        <w:pStyle w:val="ListBullet"/>
        <w:spacing w:before="20" w:after="40"/>
      </w:pPr>
      <w:r>
        <w:rPr>
          <w:rFonts w:ascii="Calibri" w:hAnsi="Calibri"/>
          <w:b w:val="0"/>
          <w:color w:val="2B2B2B"/>
          <w:sz w:val="19"/>
        </w:rPr>
        <w:t>Quarterly process walkthroughs on a rotating basis.</w:t>
      </w:r>
    </w:p>
    <w:p w14:paraId="0EA0CCF0" w14:textId="77777777">
      <w:pPr>
        <w:pStyle w:val="ListBullet"/>
        <w:spacing w:before="20" w:after="40"/>
      </w:pPr>
      <w:r>
        <w:rPr>
          <w:rFonts w:ascii="Calibri" w:hAnsi="Calibri"/>
          <w:b w:val="0"/>
          <w:color w:val="2B2B2B"/>
          <w:sz w:val="19"/>
        </w:rPr>
        <w:t>Findings Log with severity, owner, and target remediation date.</w:t>
      </w:r>
    </w:p>
    <w:p w14:paraId="0457A809" w14:textId="77777777">
      <w:pPr>
        <w:pStyle w:val="ListBullet"/>
        <w:spacing w:before="20" w:after="40"/>
      </w:pPr>
      <w:r>
        <w:rPr>
          <w:rFonts w:ascii="Calibri" w:hAnsi="Calibri"/>
          <w:b w:val="0"/>
          <w:color w:val="2B2B2B"/>
          <w:sz w:val="19"/>
        </w:rPr>
        <w:t>Critical findings escalated same business day to Owner.</w:t>
      </w:r>
    </w:p>
    <w:p w14:paraId="14A6C290" w14:textId="77777777">
      <w:pPr>
        <w:pStyle w:val="ListBullet"/>
        <w:spacing w:before="20" w:after="40"/>
      </w:pPr>
      <w:r>
        <w:rPr>
          <w:rFonts w:ascii="Calibri" w:hAnsi="Calibri"/>
          <w:b w:val="0"/>
          <w:color w:val="2B2B2B"/>
          <w:sz w:val="19"/>
        </w:rPr>
        <w:t>Signed monthly Attestation in the close package.</w:t>
      </w:r>
    </w:p>
    <w:p w14:paraId="27E0FDE1" w14:textId="77777777">
      <w:pPr>
        <w:pStyle w:val="ListBullet"/>
        <w:spacing w:before="20" w:after="40"/>
      </w:pPr>
      <w:r>
        <w:rPr>
          <w:rFonts w:ascii="Calibri" w:hAnsi="Calibri"/>
          <w:b w:val="0"/>
          <w:color w:val="2B2B2B"/>
          <w:sz w:val="19"/>
        </w:rPr>
        <w:t>Annual full Controls Environment Review with Owner.</w:t>
      </w:r>
    </w:p>
    <w:p w14:paraId="444196BE" w14:textId="77777777">
      <w:pPr>
        <w:spacing w:before="200" w:after="80"/>
      </w:pPr>
      <w:r>
        <w:rPr>
          <w:rFonts w:ascii="Calibri" w:hAnsi="Calibri"/>
          <w:b/>
          <w:color w:val="5A2A4D"/>
          <w:sz w:val="23"/>
        </w:rPr>
        <w:t>7. Regulatory &amp; Compliance Basis</w:t>
      </w:r>
    </w:p>
    <w:p w14:paraId="56D7E472" w14:textId="77777777">
      <w:pPr>
        <w:spacing w:after="80"/>
      </w:pPr>
      <w:r>
        <w:rPr>
          <w:rFonts w:ascii="Calibri" w:hAnsi="Calibri"/>
          <w:b w:val="0"/>
          <w:color w:val="707070"/>
          <w:sz w:val="17"/>
        </w:rPr>
        <w:t>Independent oversight is an accounting and governance best practice; applicable state regulations do not prescribe a specific oversight protocol. The cannabis operating environment (state cannabis regulator inspections, 280E exposure, cash intensity) elevates the value of documented oversight. Where findings touch state cannabis regulator-reportable matters (theft, diversion, inventory discrepancy), the cross-referenced SOPs (11, 13) govern reporting timing.</w:t>
      </w:r>
    </w:p>
    <w:tbl>
      <w:tblPr>
        <w:tblW w:w="0" w:type="auto"/>
        <w:tblLayout w:type="fixed"/>
        <w:tblLook w:val="04A0" w:firstRow="1" w:lastRow="0" w:firstColumn="1" w:lastColumn="0" w:noHBand="0" w:noVBand="1"/>
      </w:tblPr>
      <w:tblGrid>
        <w:gridCol w:w="3120"/>
        <w:gridCol w:w="3120"/>
        <w:gridCol w:w="3120"/>
      </w:tblGrid>
      <w:tr w14:paraId="5C8DFE70" w14:textId="77777777">
        <w:tc>
          <w:tcPr>
            <w:tcW w:w="3168" w:type="dxa"/>
            <w:shd w:val="clear" w:color="auto" w:fill="5A2A4D"/>
            <w:tcBorders>
              <w:top w:val="single" w:color="D6C5CF" w:sz="4"/>
              <w:left w:val="single" w:color="D6C5CF" w:sz="4"/>
              <w:bottom w:val="single" w:color="D6C5CF" w:sz="4"/>
              <w:right w:val="single" w:color="D6C5CF" w:sz="4"/>
            </w:tcBorders>
          </w:tcPr>
          <w:p w14:paraId="6F3B69C3" w14:textId="77777777">
            <w:pPr>
              <w:spacing w:before="60" w:after="60"/>
            </w:pPr>
            <w:r>
              <w:rPr>
                <w:rFonts w:ascii="Calibri" w:hAnsi="Calibri"/>
                <w:b/>
                <w:color w:val="FFFFFF"/>
                <w:sz w:val="21"/>
              </w:rPr>
              <w:t>Reference</w:t>
            </w:r>
          </w:p>
        </w:tc>
        <w:tc>
          <w:tcPr>
            <w:tcW w:w="5040" w:type="dxa"/>
            <w:shd w:val="clear" w:color="auto" w:fill="5A2A4D"/>
            <w:tcBorders>
              <w:top w:val="single" w:color="D6C5CF" w:sz="4"/>
              <w:left w:val="single" w:color="D6C5CF" w:sz="4"/>
              <w:bottom w:val="single" w:color="D6C5CF" w:sz="4"/>
              <w:right w:val="single" w:color="D6C5CF" w:sz="4"/>
            </w:tcBorders>
          </w:tcPr>
          <w:p w14:paraId="213F5639" w14:textId="77777777">
            <w:pPr>
              <w:spacing w:before="60" w:after="60"/>
            </w:pPr>
            <w:r>
              <w:rPr>
                <w:rFonts w:ascii="Calibri" w:hAnsi="Calibri"/>
                <w:b/>
                <w:color w:val="FFFFFF"/>
                <w:sz w:val="21"/>
              </w:rPr>
              <w:t>Requirement / Basis</w:t>
            </w:r>
          </w:p>
        </w:tc>
        <w:tc>
          <w:tcPr>
            <w:tcW w:w="864" w:type="dxa"/>
            <w:shd w:val="clear" w:color="auto" w:fill="5A2A4D"/>
            <w:tcBorders>
              <w:top w:val="single" w:color="D6C5CF" w:sz="4"/>
              <w:left w:val="single" w:color="D6C5CF" w:sz="4"/>
              <w:bottom w:val="single" w:color="D6C5CF" w:sz="4"/>
              <w:right w:val="single" w:color="D6C5CF" w:sz="4"/>
            </w:tcBorders>
          </w:tcPr>
          <w:p w14:paraId="4473287E" w14:textId="77777777">
            <w:pPr>
              <w:spacing w:before="60" w:after="60"/>
            </w:pPr>
            <w:r>
              <w:rPr>
                <w:rFonts w:ascii="Calibri" w:hAnsi="Calibri"/>
                <w:b/>
                <w:color w:val="FFFFFF"/>
                <w:sz w:val="21"/>
              </w:rPr>
              <w:t>Class</w:t>
            </w:r>
          </w:p>
        </w:tc>
      </w:tr>
      <w:tr w14:paraId="4E99FC90" w14:textId="77777777">
        <w:tc>
          <w:tcPr>
            <w:tcW w:w="3168" w:type="dxa"/>
            <w:vAlign w:val="top"/>
            <w:tcBorders>
              <w:top w:val="single" w:color="D6C5CF" w:sz="4"/>
              <w:left w:val="single" w:color="D6C5CF" w:sz="4"/>
              <w:bottom w:val="single" w:color="D6C5CF" w:sz="4"/>
              <w:right w:val="single" w:color="D6C5CF" w:sz="4"/>
            </w:tcBorders>
          </w:tcPr>
          <w:p w14:paraId="4738007A" w14:textId="77777777">
            <w:pPr>
              <w:spacing w:before="60" w:after="60"/>
            </w:pPr>
            <w:r>
              <w:rPr>
                <w:rFonts w:ascii="Calibri" w:hAnsi="Calibri"/>
                <w:b/>
                <w:color w:val="2B2B2B"/>
                <w:sz w:val="20"/>
              </w:rPr>
              <w:t>Monthly Controller Oversight Review</w:t>
            </w:r>
          </w:p>
        </w:tc>
        <w:tc>
          <w:tcPr>
            <w:tcW w:w="5040" w:type="dxa"/>
            <w:vAlign w:val="top"/>
            <w:tcBorders>
              <w:top w:val="single" w:color="D6C5CF" w:sz="4"/>
              <w:left w:val="single" w:color="D6C5CF" w:sz="4"/>
              <w:bottom w:val="single" w:color="D6C5CF" w:sz="4"/>
              <w:right w:val="single" w:color="D6C5CF" w:sz="4"/>
            </w:tcBorders>
          </w:tcPr>
          <w:p w14:paraId="17C09897" w14:textId="77777777">
            <w:pPr>
              <w:spacing w:before="60" w:after="60"/>
            </w:pPr>
            <w:r>
              <w:rPr>
                <w:rFonts w:ascii="Calibri" w:hAnsi="Calibri"/>
                <w:b w:val="0"/>
                <w:color w:val="2B2B2B"/>
                <w:sz w:val="20"/>
              </w:rPr>
              <w:t>Independent review of control operation each month.</w:t>
            </w:r>
          </w:p>
        </w:tc>
        <w:tc>
          <w:tcPr>
            <w:tcW w:w="864" w:type="dxa"/>
            <w:vAlign w:val="top"/>
            <w:tcBorders>
              <w:top w:val="single" w:color="D6C5CF" w:sz="4"/>
              <w:left w:val="single" w:color="D6C5CF" w:sz="4"/>
              <w:bottom w:val="single" w:color="D6C5CF" w:sz="4"/>
              <w:right w:val="single" w:color="D6C5CF" w:sz="4"/>
            </w:tcBorders>
          </w:tcPr>
          <w:p w14:paraId="2A27B618" w14:textId="77777777">
            <w:pPr>
              <w:spacing w:before="60" w:after="60"/>
            </w:pPr>
            <w:r>
              <w:rPr>
                <w:rFonts w:ascii="Calibri" w:hAnsi="Calibri"/>
                <w:b w:val="0"/>
                <w:color w:val="2B2B2B"/>
                <w:sz w:val="20"/>
              </w:rPr>
              <w:t>IC</w:t>
            </w:r>
          </w:p>
        </w:tc>
      </w:tr>
      <w:tr w14:paraId="57E26B44" w14:textId="77777777">
        <w:tc>
          <w:tcPr>
            <w:tcW w:w="3168" w:type="dxa"/>
            <w:vAlign w:val="top"/>
            <w:tcBorders>
              <w:top w:val="single" w:color="D6C5CF" w:sz="4"/>
              <w:left w:val="single" w:color="D6C5CF" w:sz="4"/>
              <w:bottom w:val="single" w:color="D6C5CF" w:sz="4"/>
              <w:right w:val="single" w:color="D6C5CF" w:sz="4"/>
            </w:tcBorders>
          </w:tcPr>
          <w:p w14:paraId="25B54328" w14:textId="77777777">
            <w:pPr>
              <w:spacing w:before="60" w:after="60"/>
            </w:pPr>
            <w:r>
              <w:rPr>
                <w:rFonts w:ascii="Calibri" w:hAnsi="Calibri"/>
                <w:b/>
                <w:color w:val="2B2B2B"/>
                <w:sz w:val="20"/>
              </w:rPr>
              <w:t>Sample-based testing across domains</w:t>
            </w:r>
          </w:p>
        </w:tc>
        <w:tc>
          <w:tcPr>
            <w:tcW w:w="5040" w:type="dxa"/>
            <w:vAlign w:val="top"/>
            <w:tcBorders>
              <w:top w:val="single" w:color="D6C5CF" w:sz="4"/>
              <w:left w:val="single" w:color="D6C5CF" w:sz="4"/>
              <w:bottom w:val="single" w:color="D6C5CF" w:sz="4"/>
              <w:right w:val="single" w:color="D6C5CF" w:sz="4"/>
            </w:tcBorders>
          </w:tcPr>
          <w:p w14:paraId="0EC08374" w14:textId="77777777">
            <w:pPr>
              <w:spacing w:before="60" w:after="60"/>
            </w:pPr>
            <w:r>
              <w:rPr>
                <w:rFonts w:ascii="Calibri" w:hAnsi="Calibri"/>
                <w:b w:val="0"/>
                <w:color w:val="2B2B2B"/>
                <w:sz w:val="20"/>
              </w:rPr>
              <w:t>Risk-based coverage of control evidence.</w:t>
            </w:r>
          </w:p>
        </w:tc>
        <w:tc>
          <w:tcPr>
            <w:tcW w:w="864" w:type="dxa"/>
            <w:vAlign w:val="top"/>
            <w:tcBorders>
              <w:top w:val="single" w:color="D6C5CF" w:sz="4"/>
              <w:left w:val="single" w:color="D6C5CF" w:sz="4"/>
              <w:bottom w:val="single" w:color="D6C5CF" w:sz="4"/>
              <w:right w:val="single" w:color="D6C5CF" w:sz="4"/>
            </w:tcBorders>
          </w:tcPr>
          <w:p w14:paraId="1EAC9AF6" w14:textId="77777777">
            <w:pPr>
              <w:spacing w:before="60" w:after="60"/>
            </w:pPr>
            <w:r>
              <w:rPr>
                <w:rFonts w:ascii="Calibri" w:hAnsi="Calibri"/>
                <w:b w:val="0"/>
                <w:color w:val="2B2B2B"/>
                <w:sz w:val="20"/>
              </w:rPr>
              <w:t>IC</w:t>
            </w:r>
          </w:p>
        </w:tc>
      </w:tr>
      <w:tr w14:paraId="411CB84E" w14:textId="77777777">
        <w:tc>
          <w:tcPr>
            <w:tcW w:w="3168" w:type="dxa"/>
            <w:vAlign w:val="top"/>
            <w:tcBorders>
              <w:top w:val="single" w:color="D6C5CF" w:sz="4"/>
              <w:left w:val="single" w:color="D6C5CF" w:sz="4"/>
              <w:bottom w:val="single" w:color="D6C5CF" w:sz="4"/>
              <w:right w:val="single" w:color="D6C5CF" w:sz="4"/>
            </w:tcBorders>
          </w:tcPr>
          <w:p w14:paraId="21B328C2" w14:textId="77777777">
            <w:pPr>
              <w:spacing w:before="60" w:after="60"/>
            </w:pPr>
            <w:r>
              <w:rPr>
                <w:rFonts w:ascii="Calibri" w:hAnsi="Calibri"/>
                <w:b/>
                <w:color w:val="2B2B2B"/>
                <w:sz w:val="20"/>
              </w:rPr>
              <w:t>Quarterly walkthroughs</w:t>
            </w:r>
          </w:p>
        </w:tc>
        <w:tc>
          <w:tcPr>
            <w:tcW w:w="5040" w:type="dxa"/>
            <w:vAlign w:val="top"/>
            <w:tcBorders>
              <w:top w:val="single" w:color="D6C5CF" w:sz="4"/>
              <w:left w:val="single" w:color="D6C5CF" w:sz="4"/>
              <w:bottom w:val="single" w:color="D6C5CF" w:sz="4"/>
              <w:right w:val="single" w:color="D6C5CF" w:sz="4"/>
            </w:tcBorders>
          </w:tcPr>
          <w:p w14:paraId="3DFF0831" w14:textId="77777777">
            <w:pPr>
              <w:spacing w:before="60" w:after="60"/>
            </w:pPr>
            <w:r>
              <w:rPr>
                <w:rFonts w:ascii="Calibri" w:hAnsi="Calibri"/>
                <w:b w:val="0"/>
                <w:color w:val="2B2B2B"/>
                <w:sz w:val="20"/>
              </w:rPr>
              <w:t>End-to-end process tracing.</w:t>
            </w:r>
          </w:p>
        </w:tc>
        <w:tc>
          <w:tcPr>
            <w:tcW w:w="864" w:type="dxa"/>
            <w:vAlign w:val="top"/>
            <w:tcBorders>
              <w:top w:val="single" w:color="D6C5CF" w:sz="4"/>
              <w:left w:val="single" w:color="D6C5CF" w:sz="4"/>
              <w:bottom w:val="single" w:color="D6C5CF" w:sz="4"/>
              <w:right w:val="single" w:color="D6C5CF" w:sz="4"/>
            </w:tcBorders>
          </w:tcPr>
          <w:p w14:paraId="79DA7213" w14:textId="77777777">
            <w:pPr>
              <w:spacing w:before="60" w:after="60"/>
            </w:pPr>
            <w:r>
              <w:rPr>
                <w:rFonts w:ascii="Calibri" w:hAnsi="Calibri"/>
                <w:b w:val="0"/>
                <w:color w:val="2B2B2B"/>
                <w:sz w:val="20"/>
              </w:rPr>
              <w:t>IC</w:t>
            </w:r>
          </w:p>
        </w:tc>
      </w:tr>
      <w:tr w14:paraId="2CD665D9" w14:textId="77777777">
        <w:tc>
          <w:tcPr>
            <w:tcW w:w="3168" w:type="dxa"/>
            <w:vAlign w:val="top"/>
            <w:tcBorders>
              <w:top w:val="single" w:color="D6C5CF" w:sz="4"/>
              <w:left w:val="single" w:color="D6C5CF" w:sz="4"/>
              <w:bottom w:val="single" w:color="D6C5CF" w:sz="4"/>
              <w:right w:val="single" w:color="D6C5CF" w:sz="4"/>
            </w:tcBorders>
          </w:tcPr>
          <w:p w14:paraId="35728634" w14:textId="77777777">
            <w:pPr>
              <w:spacing w:before="60" w:after="60"/>
            </w:pPr>
            <w:r>
              <w:rPr>
                <w:rFonts w:ascii="Calibri" w:hAnsi="Calibri"/>
                <w:b/>
                <w:color w:val="2B2B2B"/>
                <w:sz w:val="20"/>
              </w:rPr>
              <w:t>Findings Log with severity and aging</w:t>
            </w:r>
          </w:p>
        </w:tc>
        <w:tc>
          <w:tcPr>
            <w:tcW w:w="5040" w:type="dxa"/>
            <w:vAlign w:val="top"/>
            <w:tcBorders>
              <w:top w:val="single" w:color="D6C5CF" w:sz="4"/>
              <w:left w:val="single" w:color="D6C5CF" w:sz="4"/>
              <w:bottom w:val="single" w:color="D6C5CF" w:sz="4"/>
              <w:right w:val="single" w:color="D6C5CF" w:sz="4"/>
            </w:tcBorders>
          </w:tcPr>
          <w:p w14:paraId="08FA8856" w14:textId="77777777">
            <w:pPr>
              <w:spacing w:before="60" w:after="60"/>
            </w:pPr>
            <w:r>
              <w:rPr>
                <w:rFonts w:ascii="Calibri" w:hAnsi="Calibri"/>
                <w:b w:val="0"/>
                <w:color w:val="2B2B2B"/>
                <w:sz w:val="20"/>
              </w:rPr>
              <w:t>Tracks deficiencies and remediation.</w:t>
            </w:r>
          </w:p>
        </w:tc>
        <w:tc>
          <w:tcPr>
            <w:tcW w:w="864" w:type="dxa"/>
            <w:vAlign w:val="top"/>
            <w:tcBorders>
              <w:top w:val="single" w:color="D6C5CF" w:sz="4"/>
              <w:left w:val="single" w:color="D6C5CF" w:sz="4"/>
              <w:bottom w:val="single" w:color="D6C5CF" w:sz="4"/>
              <w:right w:val="single" w:color="D6C5CF" w:sz="4"/>
            </w:tcBorders>
          </w:tcPr>
          <w:p w14:paraId="0662AF63" w14:textId="77777777">
            <w:pPr>
              <w:spacing w:before="60" w:after="60"/>
            </w:pPr>
            <w:r>
              <w:rPr>
                <w:rFonts w:ascii="Calibri" w:hAnsi="Calibri"/>
                <w:b w:val="0"/>
                <w:color w:val="2B2B2B"/>
                <w:sz w:val="20"/>
              </w:rPr>
              <w:t>IC</w:t>
            </w:r>
          </w:p>
        </w:tc>
      </w:tr>
      <w:tr w14:paraId="53BA1BB5" w14:textId="77777777">
        <w:tc>
          <w:tcPr>
            <w:tcW w:w="3168" w:type="dxa"/>
            <w:vAlign w:val="top"/>
            <w:tcBorders>
              <w:top w:val="single" w:color="D6C5CF" w:sz="4"/>
              <w:left w:val="single" w:color="D6C5CF" w:sz="4"/>
              <w:bottom w:val="single" w:color="D6C5CF" w:sz="4"/>
              <w:right w:val="single" w:color="D6C5CF" w:sz="4"/>
            </w:tcBorders>
          </w:tcPr>
          <w:p w14:paraId="574213DE" w14:textId="77777777">
            <w:pPr>
              <w:spacing w:before="60" w:after="60"/>
            </w:pPr>
            <w:r>
              <w:rPr>
                <w:rFonts w:ascii="Calibri" w:hAnsi="Calibri"/>
                <w:b/>
                <w:color w:val="2B2B2B"/>
                <w:sz w:val="20"/>
              </w:rPr>
              <w:t>Signed monthly Attestation</w:t>
            </w:r>
          </w:p>
        </w:tc>
        <w:tc>
          <w:tcPr>
            <w:tcW w:w="5040" w:type="dxa"/>
            <w:vAlign w:val="top"/>
            <w:tcBorders>
              <w:top w:val="single" w:color="D6C5CF" w:sz="4"/>
              <w:left w:val="single" w:color="D6C5CF" w:sz="4"/>
              <w:bottom w:val="single" w:color="D6C5CF" w:sz="4"/>
              <w:right w:val="single" w:color="D6C5CF" w:sz="4"/>
            </w:tcBorders>
          </w:tcPr>
          <w:p w14:paraId="20E354C2" w14:textId="77777777">
            <w:pPr>
              <w:spacing w:before="60" w:after="60"/>
            </w:pPr>
            <w:r>
              <w:rPr>
                <w:rFonts w:ascii="Calibri" w:hAnsi="Calibri"/>
                <w:b w:val="0"/>
                <w:color w:val="2B2B2B"/>
                <w:sz w:val="20"/>
              </w:rPr>
              <w:t>Documented Controller view of the control environment.</w:t>
            </w:r>
          </w:p>
        </w:tc>
        <w:tc>
          <w:tcPr>
            <w:tcW w:w="864" w:type="dxa"/>
            <w:vAlign w:val="top"/>
            <w:tcBorders>
              <w:top w:val="single" w:color="D6C5CF" w:sz="4"/>
              <w:left w:val="single" w:color="D6C5CF" w:sz="4"/>
              <w:bottom w:val="single" w:color="D6C5CF" w:sz="4"/>
              <w:right w:val="single" w:color="D6C5CF" w:sz="4"/>
            </w:tcBorders>
          </w:tcPr>
          <w:p w14:paraId="076B4724" w14:textId="77777777">
            <w:pPr>
              <w:spacing w:before="60" w:after="60"/>
            </w:pPr>
            <w:r>
              <w:rPr>
                <w:rFonts w:ascii="Calibri" w:hAnsi="Calibri"/>
                <w:b w:val="0"/>
                <w:color w:val="2B2B2B"/>
                <w:sz w:val="20"/>
              </w:rPr>
              <w:t>IC</w:t>
            </w:r>
          </w:p>
        </w:tc>
      </w:tr>
      <w:tr w14:paraId="25F3449B" w14:textId="77777777">
        <w:tc>
          <w:tcPr>
            <w:tcW w:w="3168" w:type="dxa"/>
            <w:vAlign w:val="top"/>
            <w:tcBorders>
              <w:top w:val="single" w:color="D6C5CF" w:sz="4"/>
              <w:left w:val="single" w:color="D6C5CF" w:sz="4"/>
              <w:bottom w:val="single" w:color="D6C5CF" w:sz="4"/>
              <w:right w:val="single" w:color="D6C5CF" w:sz="4"/>
            </w:tcBorders>
          </w:tcPr>
          <w:p w14:paraId="004E92CF" w14:textId="77777777">
            <w:pPr>
              <w:spacing w:before="60" w:after="60"/>
            </w:pPr>
            <w:r>
              <w:rPr>
                <w:rFonts w:ascii="Calibri" w:hAnsi="Calibri"/>
                <w:b/>
                <w:color w:val="2B2B2B"/>
                <w:sz w:val="20"/>
              </w:rPr>
              <w:t>Same-day Owner escalation on critical findings</w:t>
            </w:r>
          </w:p>
        </w:tc>
        <w:tc>
          <w:tcPr>
            <w:tcW w:w="5040" w:type="dxa"/>
            <w:vAlign w:val="top"/>
            <w:tcBorders>
              <w:top w:val="single" w:color="D6C5CF" w:sz="4"/>
              <w:left w:val="single" w:color="D6C5CF" w:sz="4"/>
              <w:bottom w:val="single" w:color="D6C5CF" w:sz="4"/>
              <w:right w:val="single" w:color="D6C5CF" w:sz="4"/>
            </w:tcBorders>
          </w:tcPr>
          <w:p w14:paraId="019A0238" w14:textId="77777777">
            <w:pPr>
              <w:spacing w:before="60" w:after="60"/>
            </w:pPr>
            <w:r>
              <w:rPr>
                <w:rFonts w:ascii="Calibri" w:hAnsi="Calibri"/>
                <w:b w:val="0"/>
                <w:color w:val="2B2B2B"/>
                <w:sz w:val="20"/>
              </w:rPr>
              <w:t>Timely surfacing of material issues.</w:t>
            </w:r>
          </w:p>
        </w:tc>
        <w:tc>
          <w:tcPr>
            <w:tcW w:w="864" w:type="dxa"/>
            <w:vAlign w:val="top"/>
            <w:tcBorders>
              <w:top w:val="single" w:color="D6C5CF" w:sz="4"/>
              <w:left w:val="single" w:color="D6C5CF" w:sz="4"/>
              <w:bottom w:val="single" w:color="D6C5CF" w:sz="4"/>
              <w:right w:val="single" w:color="D6C5CF" w:sz="4"/>
            </w:tcBorders>
          </w:tcPr>
          <w:p w14:paraId="63F4B4F0" w14:textId="77777777">
            <w:pPr>
              <w:spacing w:before="60" w:after="60"/>
            </w:pPr>
            <w:r>
              <w:rPr>
                <w:rFonts w:ascii="Calibri" w:hAnsi="Calibri"/>
                <w:b w:val="0"/>
                <w:color w:val="2B2B2B"/>
                <w:sz w:val="20"/>
              </w:rPr>
              <w:t>IC</w:t>
            </w:r>
          </w:p>
        </w:tc>
      </w:tr>
      <w:tr w14:paraId="68C18F6D" w14:textId="77777777">
        <w:tc>
          <w:tcPr>
            <w:tcW w:w="3168" w:type="dxa"/>
            <w:vAlign w:val="top"/>
            <w:tcBorders>
              <w:top w:val="single" w:color="D6C5CF" w:sz="4"/>
              <w:left w:val="single" w:color="D6C5CF" w:sz="4"/>
              <w:bottom w:val="single" w:color="D6C5CF" w:sz="4"/>
              <w:right w:val="single" w:color="D6C5CF" w:sz="4"/>
            </w:tcBorders>
          </w:tcPr>
          <w:p w14:paraId="61AF1601" w14:textId="77777777">
            <w:pPr>
              <w:spacing w:before="60" w:after="60"/>
            </w:pPr>
            <w:r>
              <w:rPr>
                <w:rFonts w:ascii="Calibri" w:hAnsi="Calibri"/>
                <w:b/>
                <w:color w:val="2B2B2B"/>
                <w:sz w:val="20"/>
              </w:rPr>
              <w:t>Cross-reference to state cannabis regulator-reportable matters via SOPs 11 and 13</w:t>
            </w:r>
          </w:p>
        </w:tc>
        <w:tc>
          <w:tcPr>
            <w:tcW w:w="5040" w:type="dxa"/>
            <w:vAlign w:val="top"/>
            <w:tcBorders>
              <w:top w:val="single" w:color="D6C5CF" w:sz="4"/>
              <w:left w:val="single" w:color="D6C5CF" w:sz="4"/>
              <w:bottom w:val="single" w:color="D6C5CF" w:sz="4"/>
              <w:right w:val="single" w:color="D6C5CF" w:sz="4"/>
            </w:tcBorders>
          </w:tcPr>
          <w:p w14:paraId="0082A427" w14:textId="77777777">
            <w:pPr>
              <w:spacing w:before="60" w:after="60"/>
            </w:pPr>
            <w:r>
              <w:rPr>
                <w:rFonts w:ascii="Calibri" w:hAnsi="Calibri"/>
                <w:b w:val="0"/>
                <w:color w:val="2B2B2B"/>
                <w:sz w:val="20"/>
              </w:rPr>
              <w:t>State cannabis regulator reporting timing governed by the referenced SOPs — confirm with counsel.</w:t>
            </w:r>
          </w:p>
        </w:tc>
        <w:tc>
          <w:tcPr>
            <w:tcW w:w="864" w:type="dxa"/>
            <w:vAlign w:val="top"/>
            <w:tcBorders>
              <w:top w:val="single" w:color="D6C5CF" w:sz="4"/>
              <w:left w:val="single" w:color="D6C5CF" w:sz="4"/>
              <w:bottom w:val="single" w:color="D6C5CF" w:sz="4"/>
              <w:right w:val="single" w:color="D6C5CF" w:sz="4"/>
            </w:tcBorders>
          </w:tcPr>
          <w:p w14:paraId="0C5453E4" w14:textId="77777777">
            <w:pPr>
              <w:spacing w:before="60" w:after="60"/>
            </w:pPr>
            <w:r>
              <w:rPr>
                <w:rFonts w:ascii="Calibri" w:hAnsi="Calibri"/>
                <w:b w:val="0"/>
                <w:color w:val="2B2B2B"/>
                <w:sz w:val="20"/>
              </w:rPr>
              <w:t>R</w:t>
            </w:r>
          </w:p>
        </w:tc>
      </w:tr>
      <w:tr w14:paraId="7EF9217A" w14:textId="77777777">
        <w:tc>
          <w:tcPr>
            <w:tcW w:w="3168" w:type="dxa"/>
            <w:vAlign w:val="top"/>
            <w:tcBorders>
              <w:top w:val="single" w:color="D6C5CF" w:sz="4"/>
              <w:left w:val="single" w:color="D6C5CF" w:sz="4"/>
              <w:bottom w:val="single" w:color="D6C5CF" w:sz="4"/>
              <w:right w:val="single" w:color="D6C5CF" w:sz="4"/>
            </w:tcBorders>
          </w:tcPr>
          <w:p w14:paraId="2AC3CA61" w14:textId="77777777">
            <w:pPr>
              <w:spacing w:before="60" w:after="60"/>
            </w:pPr>
            <w:r>
              <w:rPr>
                <w:rFonts w:ascii="Calibri" w:hAnsi="Calibri"/>
                <w:b/>
                <w:color w:val="2B2B2B"/>
                <w:sz w:val="20"/>
              </w:rPr>
              <w:t>Annual full Controls Environment Review</w:t>
            </w:r>
          </w:p>
        </w:tc>
        <w:tc>
          <w:tcPr>
            <w:tcW w:w="5040" w:type="dxa"/>
            <w:vAlign w:val="top"/>
            <w:tcBorders>
              <w:top w:val="single" w:color="D6C5CF" w:sz="4"/>
              <w:left w:val="single" w:color="D6C5CF" w:sz="4"/>
              <w:bottom w:val="single" w:color="D6C5CF" w:sz="4"/>
              <w:right w:val="single" w:color="D6C5CF" w:sz="4"/>
            </w:tcBorders>
          </w:tcPr>
          <w:p w14:paraId="28183A1F" w14:textId="77777777">
            <w:pPr>
              <w:spacing w:before="60" w:after="60"/>
            </w:pPr>
            <w:r>
              <w:rPr>
                <w:rFonts w:ascii="Calibri" w:hAnsi="Calibri"/>
                <w:b w:val="0"/>
                <w:color w:val="2B2B2B"/>
                <w:sz w:val="20"/>
              </w:rPr>
              <w:t>Maintains the SOP Library's continued effectiveness.</w:t>
            </w:r>
          </w:p>
        </w:tc>
        <w:tc>
          <w:tcPr>
            <w:tcW w:w="864" w:type="dxa"/>
            <w:vAlign w:val="top"/>
            <w:tcBorders>
              <w:top w:val="single" w:color="D6C5CF" w:sz="4"/>
              <w:left w:val="single" w:color="D6C5CF" w:sz="4"/>
              <w:bottom w:val="single" w:color="D6C5CF" w:sz="4"/>
              <w:right w:val="single" w:color="D6C5CF" w:sz="4"/>
            </w:tcBorders>
          </w:tcPr>
          <w:p w14:paraId="3C57FB38" w14:textId="77777777">
            <w:pPr>
              <w:spacing w:before="60" w:after="60"/>
            </w:pPr>
            <w:r>
              <w:rPr>
                <w:rFonts w:ascii="Calibri" w:hAnsi="Calibri"/>
                <w:b w:val="0"/>
                <w:color w:val="2B2B2B"/>
                <w:sz w:val="20"/>
              </w:rPr>
              <w:t>BP</w:t>
            </w:r>
          </w:p>
        </w:tc>
      </w:tr>
    </w:tbl>
    <w:p w14:paraId="1E1C54B2" w14:textId="77777777">
      <w:pPr>
        <w:spacing w:before="200" w:after="80"/>
      </w:pPr>
      <w:r>
        <w:rPr>
          <w:rFonts w:ascii="Calibri" w:hAnsi="Calibri"/>
          <w:b/>
          <w:color w:val="5A2A4D"/>
          <w:sz w:val="23"/>
        </w:rPr>
        <w:t>8. Records &amp; Retention</w:t>
      </w:r>
    </w:p>
    <w:tbl>
      <w:tblPr>
        <w:tblW w:w="0" w:type="auto"/>
        <w:tblLayout w:type="fixed"/>
        <w:tblLook w:val="04A0" w:firstRow="1" w:lastRow="0" w:firstColumn="1" w:lastColumn="0" w:noHBand="0" w:noVBand="1"/>
      </w:tblPr>
      <w:tblGrid>
        <w:gridCol w:w="3120"/>
        <w:gridCol w:w="3120"/>
        <w:gridCol w:w="3120"/>
      </w:tblGrid>
      <w:tr w14:paraId="45C22E91" w14:textId="77777777">
        <w:tc>
          <w:tcPr>
            <w:tcW w:w="3456" w:type="dxa"/>
            <w:shd w:val="clear" w:color="auto" w:fill="5A2A4D"/>
            <w:tcBorders>
              <w:top w:val="single" w:color="D6C5CF" w:sz="4"/>
              <w:left w:val="single" w:color="D6C5CF" w:sz="4"/>
              <w:bottom w:val="single" w:color="D6C5CF" w:sz="4"/>
              <w:right w:val="single" w:color="D6C5CF" w:sz="4"/>
            </w:tcBorders>
          </w:tcPr>
          <w:p w14:paraId="468A8E92" w14:textId="77777777">
            <w:pPr>
              <w:spacing w:before="60" w:after="60"/>
            </w:pPr>
            <w:r>
              <w:rPr>
                <w:rFonts w:ascii="Calibri" w:hAnsi="Calibri"/>
                <w:b/>
                <w:color w:val="FFFFFF"/>
                <w:sz w:val="21"/>
              </w:rPr>
              <w:t>Record</w:t>
            </w:r>
          </w:p>
        </w:tc>
        <w:tc>
          <w:tcPr>
            <w:tcW w:w="3456" w:type="dxa"/>
            <w:shd w:val="clear" w:color="auto" w:fill="5A2A4D"/>
            <w:tcBorders>
              <w:top w:val="single" w:color="D6C5CF" w:sz="4"/>
              <w:left w:val="single" w:color="D6C5CF" w:sz="4"/>
              <w:bottom w:val="single" w:color="D6C5CF" w:sz="4"/>
              <w:right w:val="single" w:color="D6C5CF" w:sz="4"/>
            </w:tcBorders>
          </w:tcPr>
          <w:p w14:paraId="4DCF828B" w14:textId="77777777">
            <w:pPr>
              <w:spacing w:before="60" w:after="60"/>
            </w:pPr>
            <w:r>
              <w:rPr>
                <w:rFonts w:ascii="Calibri" w:hAnsi="Calibri"/>
                <w:b/>
                <w:color w:val="FFFFFF"/>
                <w:sz w:val="21"/>
              </w:rPr>
              <w:t>Location (document management system)</w:t>
            </w:r>
          </w:p>
        </w:tc>
        <w:tc>
          <w:tcPr>
            <w:tcW w:w="2448" w:type="dxa"/>
            <w:shd w:val="clear" w:color="auto" w:fill="5A2A4D"/>
            <w:tcBorders>
              <w:top w:val="single" w:color="D6C5CF" w:sz="4"/>
              <w:left w:val="single" w:color="D6C5CF" w:sz="4"/>
              <w:bottom w:val="single" w:color="D6C5CF" w:sz="4"/>
              <w:right w:val="single" w:color="D6C5CF" w:sz="4"/>
            </w:tcBorders>
          </w:tcPr>
          <w:p w14:paraId="787769FB" w14:textId="77777777">
            <w:pPr>
              <w:spacing w:before="60" w:after="60"/>
            </w:pPr>
            <w:r>
              <w:rPr>
                <w:rFonts w:ascii="Calibri" w:hAnsi="Calibri"/>
                <w:b/>
                <w:color w:val="FFFFFF"/>
                <w:sz w:val="21"/>
              </w:rPr>
              <w:t>Retention</w:t>
            </w:r>
          </w:p>
        </w:tc>
      </w:tr>
      <w:tr w14:paraId="3AB21972" w14:textId="77777777">
        <w:tc>
          <w:tcPr>
            <w:tcW w:w="3456" w:type="dxa"/>
            <w:vAlign w:val="top"/>
            <w:tcBorders>
              <w:top w:val="single" w:color="D6C5CF" w:sz="4"/>
              <w:left w:val="single" w:color="D6C5CF" w:sz="4"/>
              <w:bottom w:val="single" w:color="D6C5CF" w:sz="4"/>
              <w:right w:val="single" w:color="D6C5CF" w:sz="4"/>
            </w:tcBorders>
          </w:tcPr>
          <w:p w14:paraId="3C115345" w14:textId="77777777">
            <w:pPr>
              <w:spacing w:before="60" w:after="60"/>
            </w:pPr>
            <w:r>
              <w:rPr>
                <w:rFonts w:ascii="Calibri" w:hAnsi="Calibri"/>
                <w:b/>
                <w:color w:val="2B2B2B"/>
                <w:sz w:val="20"/>
              </w:rPr>
              <w:t>Monthly Oversight Workpapers</w:t>
            </w:r>
          </w:p>
        </w:tc>
        <w:tc>
          <w:tcPr>
            <w:tcW w:w="3456" w:type="dxa"/>
            <w:vAlign w:val="top"/>
            <w:tcBorders>
              <w:top w:val="single" w:color="D6C5CF" w:sz="4"/>
              <w:left w:val="single" w:color="D6C5CF" w:sz="4"/>
              <w:bottom w:val="single" w:color="D6C5CF" w:sz="4"/>
              <w:right w:val="single" w:color="D6C5CF" w:sz="4"/>
            </w:tcBorders>
          </w:tcPr>
          <w:p w14:paraId="02273C06" w14:textId="77777777">
            <w:pPr>
              <w:spacing w:before="60" w:after="60"/>
            </w:pPr>
            <w:r>
              <w:rPr>
                <w:rFonts w:ascii="Calibri" w:hAnsi="Calibri"/>
                <w:b w:val="0"/>
                <w:color w:val="2B2B2B"/>
                <w:sz w:val="20"/>
              </w:rPr>
              <w:t>13_Governance / 07_Oversight &amp; Attestations / Monthly</w:t>
            </w:r>
          </w:p>
        </w:tc>
        <w:tc>
          <w:tcPr>
            <w:tcW w:w="2448" w:type="dxa"/>
            <w:vAlign w:val="top"/>
            <w:tcBorders>
              <w:top w:val="single" w:color="D6C5CF" w:sz="4"/>
              <w:left w:val="single" w:color="D6C5CF" w:sz="4"/>
              <w:bottom w:val="single" w:color="D6C5CF" w:sz="4"/>
              <w:right w:val="single" w:color="D6C5CF" w:sz="4"/>
            </w:tcBorders>
          </w:tcPr>
          <w:p w14:paraId="22D190AA" w14:textId="77777777">
            <w:pPr>
              <w:spacing w:before="60" w:after="60"/>
            </w:pPr>
            <w:r>
              <w:rPr>
                <w:rFonts w:ascii="Calibri" w:hAnsi="Calibri"/>
                <w:b w:val="0"/>
                <w:color w:val="2B2B2B"/>
                <w:sz w:val="20"/>
              </w:rPr>
              <w:t>Min. 7 years</w:t>
            </w:r>
          </w:p>
        </w:tc>
      </w:tr>
      <w:tr w14:paraId="2D30B41B" w14:textId="77777777">
        <w:tc>
          <w:tcPr>
            <w:tcW w:w="3456" w:type="dxa"/>
            <w:vAlign w:val="top"/>
            <w:tcBorders>
              <w:top w:val="single" w:color="D6C5CF" w:sz="4"/>
              <w:left w:val="single" w:color="D6C5CF" w:sz="4"/>
              <w:bottom w:val="single" w:color="D6C5CF" w:sz="4"/>
              <w:right w:val="single" w:color="D6C5CF" w:sz="4"/>
            </w:tcBorders>
          </w:tcPr>
          <w:p w14:paraId="4F9ADE17" w14:textId="77777777">
            <w:pPr>
              <w:spacing w:before="60" w:after="60"/>
            </w:pPr>
            <w:r>
              <w:rPr>
                <w:rFonts w:ascii="Calibri" w:hAnsi="Calibri"/>
                <w:b/>
                <w:color w:val="2B2B2B"/>
                <w:sz w:val="20"/>
              </w:rPr>
              <w:t>Quarterly Walkthroughs</w:t>
            </w:r>
          </w:p>
        </w:tc>
        <w:tc>
          <w:tcPr>
            <w:tcW w:w="3456" w:type="dxa"/>
            <w:vAlign w:val="top"/>
            <w:tcBorders>
              <w:top w:val="single" w:color="D6C5CF" w:sz="4"/>
              <w:left w:val="single" w:color="D6C5CF" w:sz="4"/>
              <w:bottom w:val="single" w:color="D6C5CF" w:sz="4"/>
              <w:right w:val="single" w:color="D6C5CF" w:sz="4"/>
            </w:tcBorders>
          </w:tcPr>
          <w:p w14:paraId="0E226C86" w14:textId="77777777">
            <w:pPr>
              <w:spacing w:before="60" w:after="60"/>
            </w:pPr>
            <w:r>
              <w:rPr>
                <w:rFonts w:ascii="Calibri" w:hAnsi="Calibri"/>
                <w:b w:val="0"/>
                <w:color w:val="2B2B2B"/>
                <w:sz w:val="20"/>
              </w:rPr>
              <w:t>13_Governance / 07_Oversight &amp; Attestations / Walkthroughs</w:t>
            </w:r>
          </w:p>
        </w:tc>
        <w:tc>
          <w:tcPr>
            <w:tcW w:w="2448" w:type="dxa"/>
            <w:vAlign w:val="top"/>
            <w:tcBorders>
              <w:top w:val="single" w:color="D6C5CF" w:sz="4"/>
              <w:left w:val="single" w:color="D6C5CF" w:sz="4"/>
              <w:bottom w:val="single" w:color="D6C5CF" w:sz="4"/>
              <w:right w:val="single" w:color="D6C5CF" w:sz="4"/>
            </w:tcBorders>
          </w:tcPr>
          <w:p w14:paraId="7F11636D" w14:textId="77777777">
            <w:pPr>
              <w:spacing w:before="60" w:after="60"/>
            </w:pPr>
            <w:r>
              <w:rPr>
                <w:rFonts w:ascii="Calibri" w:hAnsi="Calibri"/>
                <w:b w:val="0"/>
                <w:color w:val="2B2B2B"/>
                <w:sz w:val="20"/>
              </w:rPr>
              <w:t>Min. 7 years</w:t>
            </w:r>
          </w:p>
        </w:tc>
      </w:tr>
      <w:tr w14:paraId="6ACF9C51" w14:textId="77777777">
        <w:tc>
          <w:tcPr>
            <w:tcW w:w="3456" w:type="dxa"/>
            <w:vAlign w:val="top"/>
            <w:tcBorders>
              <w:top w:val="single" w:color="D6C5CF" w:sz="4"/>
              <w:left w:val="single" w:color="D6C5CF" w:sz="4"/>
              <w:bottom w:val="single" w:color="D6C5CF" w:sz="4"/>
              <w:right w:val="single" w:color="D6C5CF" w:sz="4"/>
            </w:tcBorders>
          </w:tcPr>
          <w:p w14:paraId="50D603EF" w14:textId="77777777">
            <w:pPr>
              <w:spacing w:before="60" w:after="60"/>
            </w:pPr>
            <w:r>
              <w:rPr>
                <w:rFonts w:ascii="Calibri" w:hAnsi="Calibri"/>
                <w:b/>
                <w:color w:val="2B2B2B"/>
                <w:sz w:val="20"/>
              </w:rPr>
              <w:t>Findings Log (cumulative)</w:t>
            </w:r>
          </w:p>
        </w:tc>
        <w:tc>
          <w:tcPr>
            <w:tcW w:w="3456" w:type="dxa"/>
            <w:vAlign w:val="top"/>
            <w:tcBorders>
              <w:top w:val="single" w:color="D6C5CF" w:sz="4"/>
              <w:left w:val="single" w:color="D6C5CF" w:sz="4"/>
              <w:bottom w:val="single" w:color="D6C5CF" w:sz="4"/>
              <w:right w:val="single" w:color="D6C5CF" w:sz="4"/>
            </w:tcBorders>
          </w:tcPr>
          <w:p w14:paraId="69234006" w14:textId="77777777">
            <w:pPr>
              <w:spacing w:before="60" w:after="60"/>
            </w:pPr>
            <w:r>
              <w:rPr>
                <w:rFonts w:ascii="Calibri" w:hAnsi="Calibri"/>
                <w:b w:val="0"/>
                <w:color w:val="2B2B2B"/>
                <w:sz w:val="20"/>
              </w:rPr>
              <w:t>13_Governance / 07_Oversight &amp; Attestations / Findings</w:t>
            </w:r>
          </w:p>
        </w:tc>
        <w:tc>
          <w:tcPr>
            <w:tcW w:w="2448" w:type="dxa"/>
            <w:vAlign w:val="top"/>
            <w:tcBorders>
              <w:top w:val="single" w:color="D6C5CF" w:sz="4"/>
              <w:left w:val="single" w:color="D6C5CF" w:sz="4"/>
              <w:bottom w:val="single" w:color="D6C5CF" w:sz="4"/>
              <w:right w:val="single" w:color="D6C5CF" w:sz="4"/>
            </w:tcBorders>
          </w:tcPr>
          <w:p w14:paraId="772FB650" w14:textId="77777777">
            <w:pPr>
              <w:spacing w:before="60" w:after="60"/>
            </w:pPr>
            <w:r>
              <w:rPr>
                <w:rFonts w:ascii="Calibri" w:hAnsi="Calibri"/>
                <w:b w:val="0"/>
                <w:color w:val="2B2B2B"/>
                <w:sz w:val="20"/>
              </w:rPr>
              <w:t>Life of business; archived annually</w:t>
            </w:r>
          </w:p>
        </w:tc>
      </w:tr>
      <w:tr w14:paraId="5970320D" w14:textId="77777777">
        <w:tc>
          <w:tcPr>
            <w:tcW w:w="3456" w:type="dxa"/>
            <w:vAlign w:val="top"/>
            <w:tcBorders>
              <w:top w:val="single" w:color="D6C5CF" w:sz="4"/>
              <w:left w:val="single" w:color="D6C5CF" w:sz="4"/>
              <w:bottom w:val="single" w:color="D6C5CF" w:sz="4"/>
              <w:right w:val="single" w:color="D6C5CF" w:sz="4"/>
            </w:tcBorders>
          </w:tcPr>
          <w:p w14:paraId="459C45AA" w14:textId="77777777">
            <w:pPr>
              <w:spacing w:before="60" w:after="60"/>
            </w:pPr>
            <w:r>
              <w:rPr>
                <w:rFonts w:ascii="Calibri" w:hAnsi="Calibri"/>
                <w:b/>
                <w:color w:val="2B2B2B"/>
                <w:sz w:val="20"/>
              </w:rPr>
              <w:t>Monthly Attestations (signed)</w:t>
            </w:r>
          </w:p>
        </w:tc>
        <w:tc>
          <w:tcPr>
            <w:tcW w:w="3456" w:type="dxa"/>
            <w:vAlign w:val="top"/>
            <w:tcBorders>
              <w:top w:val="single" w:color="D6C5CF" w:sz="4"/>
              <w:left w:val="single" w:color="D6C5CF" w:sz="4"/>
              <w:bottom w:val="single" w:color="D6C5CF" w:sz="4"/>
              <w:right w:val="single" w:color="D6C5CF" w:sz="4"/>
            </w:tcBorders>
          </w:tcPr>
          <w:p w14:paraId="5DF77417" w14:textId="77777777">
            <w:pPr>
              <w:spacing w:before="60" w:after="60"/>
            </w:pPr>
            <w:r>
              <w:rPr>
                <w:rFonts w:ascii="Calibri" w:hAnsi="Calibri"/>
                <w:b w:val="0"/>
                <w:color w:val="2B2B2B"/>
                <w:sz w:val="20"/>
              </w:rPr>
              <w:t>13_Governance / 07_Oversight &amp; Attestations / Attestations</w:t>
            </w:r>
          </w:p>
        </w:tc>
        <w:tc>
          <w:tcPr>
            <w:tcW w:w="2448" w:type="dxa"/>
            <w:vAlign w:val="top"/>
            <w:tcBorders>
              <w:top w:val="single" w:color="D6C5CF" w:sz="4"/>
              <w:left w:val="single" w:color="D6C5CF" w:sz="4"/>
              <w:bottom w:val="single" w:color="D6C5CF" w:sz="4"/>
              <w:right w:val="single" w:color="D6C5CF" w:sz="4"/>
            </w:tcBorders>
          </w:tcPr>
          <w:p w14:paraId="54BB98EA" w14:textId="77777777">
            <w:pPr>
              <w:spacing w:before="60" w:after="60"/>
            </w:pPr>
            <w:r>
              <w:rPr>
                <w:rFonts w:ascii="Calibri" w:hAnsi="Calibri"/>
                <w:b w:val="0"/>
                <w:color w:val="2B2B2B"/>
                <w:sz w:val="20"/>
              </w:rPr>
              <w:t>Min. 7 years</w:t>
            </w:r>
          </w:p>
        </w:tc>
      </w:tr>
      <w:tr w14:paraId="73C4E1A0" w14:textId="77777777">
        <w:tc>
          <w:tcPr>
            <w:tcW w:w="3456" w:type="dxa"/>
            <w:vAlign w:val="top"/>
            <w:tcBorders>
              <w:top w:val="single" w:color="D6C5CF" w:sz="4"/>
              <w:left w:val="single" w:color="D6C5CF" w:sz="4"/>
              <w:bottom w:val="single" w:color="D6C5CF" w:sz="4"/>
              <w:right w:val="single" w:color="D6C5CF" w:sz="4"/>
            </w:tcBorders>
          </w:tcPr>
          <w:p w14:paraId="7FDB4032" w14:textId="77777777">
            <w:pPr>
              <w:spacing w:before="60" w:after="60"/>
            </w:pPr>
            <w:r>
              <w:rPr>
                <w:rFonts w:ascii="Calibri" w:hAnsi="Calibri"/>
                <w:b/>
                <w:color w:val="2B2B2B"/>
                <w:sz w:val="20"/>
              </w:rPr>
              <w:t>Annual Controls Environment Review memos</w:t>
            </w:r>
          </w:p>
        </w:tc>
        <w:tc>
          <w:tcPr>
            <w:tcW w:w="3456" w:type="dxa"/>
            <w:vAlign w:val="top"/>
            <w:tcBorders>
              <w:top w:val="single" w:color="D6C5CF" w:sz="4"/>
              <w:left w:val="single" w:color="D6C5CF" w:sz="4"/>
              <w:bottom w:val="single" w:color="D6C5CF" w:sz="4"/>
              <w:right w:val="single" w:color="D6C5CF" w:sz="4"/>
            </w:tcBorders>
          </w:tcPr>
          <w:p w14:paraId="1C029CBA" w14:textId="77777777">
            <w:pPr>
              <w:spacing w:before="60" w:after="60"/>
            </w:pPr>
            <w:r>
              <w:rPr>
                <w:rFonts w:ascii="Calibri" w:hAnsi="Calibri"/>
                <w:b w:val="0"/>
                <w:color w:val="2B2B2B"/>
                <w:sz w:val="20"/>
              </w:rPr>
              <w:t>13_Governance / 07_Oversight &amp; Attestations / Annual</w:t>
            </w:r>
          </w:p>
        </w:tc>
        <w:tc>
          <w:tcPr>
            <w:tcW w:w="2448" w:type="dxa"/>
            <w:vAlign w:val="top"/>
            <w:tcBorders>
              <w:top w:val="single" w:color="D6C5CF" w:sz="4"/>
              <w:left w:val="single" w:color="D6C5CF" w:sz="4"/>
              <w:bottom w:val="single" w:color="D6C5CF" w:sz="4"/>
              <w:right w:val="single" w:color="D6C5CF" w:sz="4"/>
            </w:tcBorders>
          </w:tcPr>
          <w:p w14:paraId="61F043E8" w14:textId="77777777">
            <w:pPr>
              <w:spacing w:before="60" w:after="60"/>
            </w:pPr>
            <w:r>
              <w:rPr>
                <w:rFonts w:ascii="Calibri" w:hAnsi="Calibri"/>
                <w:b w:val="0"/>
                <w:color w:val="2B2B2B"/>
                <w:sz w:val="20"/>
              </w:rPr>
              <w:t>Min. 7 years</w:t>
            </w:r>
          </w:p>
        </w:tc>
      </w:tr>
    </w:tbl>
    <w:p w14:paraId="64FA8915" w14:textId="77777777">
      <w:pPr>
        <w:spacing w:before="200" w:after="80"/>
      </w:pPr>
      <w:r>
        <w:rPr>
          <w:rFonts w:ascii="Calibri" w:hAnsi="Calibri"/>
          <w:b/>
          <w:color w:val="5A2A4D"/>
          <w:sz w:val="23"/>
        </w:rPr>
        <w:t>9. Exceptions &amp; Escalation</w:t>
      </w:r>
    </w:p>
    <w:p w14:paraId="040580AE" w14:textId="77777777">
      <w:pPr>
        <w:pStyle w:val="ListBullet"/>
        <w:spacing w:before="20" w:after="40"/>
      </w:pPr>
      <w:r>
        <w:rPr>
          <w:rFonts w:ascii="Calibri" w:hAnsi="Calibri"/>
          <w:b w:val="0"/>
          <w:color w:val="2B2B2B"/>
          <w:sz w:val="19"/>
        </w:rPr>
        <w:t>Critical finding (suspected fraud, material control failure, regulatory exposure): same-day Owner escalation; targeted controls patch within five business days; full remediation tracked.</w:t>
      </w:r>
    </w:p>
    <w:p w14:paraId="5E4D4211" w14:textId="77777777">
      <w:pPr>
        <w:pStyle w:val="ListBullet"/>
        <w:spacing w:before="20" w:after="40"/>
      </w:pPr>
      <w:r>
        <w:rPr>
          <w:rFonts w:ascii="Calibri" w:hAnsi="Calibri"/>
          <w:b w:val="0"/>
          <w:color w:val="2B2B2B"/>
          <w:sz w:val="19"/>
        </w:rPr>
        <w:t>Repeat finding for the third consecutive cycle: severity automatically elevated; Owner reviews the underlying process.</w:t>
      </w:r>
    </w:p>
    <w:p w14:paraId="08CF820A" w14:textId="77777777">
      <w:pPr>
        <w:pStyle w:val="ListBullet"/>
        <w:spacing w:before="20" w:after="40"/>
      </w:pPr>
      <w:r>
        <w:rPr>
          <w:rFonts w:ascii="Calibri" w:hAnsi="Calibri"/>
          <w:b w:val="0"/>
          <w:color w:val="2B2B2B"/>
          <w:sz w:val="19"/>
        </w:rPr>
        <w:t>Sample-eligible records unavailable for review: surfaced as a documentation finding; the underlying SOP filing discipline is reviewed.</w:t>
      </w:r>
    </w:p>
    <w:p w14:paraId="38AAFEE6" w14:textId="77777777">
      <w:pPr>
        <w:pStyle w:val="ListBullet"/>
        <w:spacing w:before="20" w:after="40"/>
      </w:pPr>
      <w:r>
        <w:rPr>
          <w:rFonts w:ascii="Calibri" w:hAnsi="Calibri"/>
          <w:b w:val="0"/>
          <w:color w:val="2B2B2B"/>
          <w:sz w:val="19"/>
        </w:rPr>
        <w:t>Walkthrough surfaces an undocumented process: a draft SOP or SOP revision is added to the SOP Library; Controller schedules the update.</w:t>
      </w:r>
    </w:p>
    <w:p w14:paraId="5AB3472E" w14:textId="77777777">
      <w:pPr>
        <w:pStyle w:val="ListBullet"/>
        <w:spacing w:before="20" w:after="40"/>
      </w:pPr>
      <w:r>
        <w:rPr>
          <w:rFonts w:ascii="Calibri" w:hAnsi="Calibri"/>
          <w:b w:val="0"/>
          <w:color w:val="2B2B2B"/>
          <w:sz w:val="19"/>
        </w:rPr>
        <w:t>Annual Controls Review identifies a structural gap (segregation, system, or policy): a remediation plan is presented to Owner with a target completion date.</w:t>
      </w:r>
    </w:p>
    <w:p w14:paraId="5CA5C335" w14:textId="77777777">
      <w:pPr>
        <w:spacing w:before="200" w:after="80"/>
      </w:pPr>
      <w:r>
        <w:rPr>
          <w:rFonts w:ascii="Calibri" w:hAnsi="Calibri"/>
          <w:b/>
          <w:color w:val="5A2A4D"/>
          <w:sz w:val="23"/>
        </w:rPr>
        <w:t>10. Revision History</w:t>
      </w:r>
    </w:p>
    <w:tbl>
      <w:tblPr>
        <w:tblW w:w="0" w:type="auto"/>
        <w:tblLayout w:type="fixed"/>
        <w:tblLook w:val="04A0" w:firstRow="1" w:lastRow="0" w:firstColumn="1" w:lastColumn="0" w:noHBand="0" w:noVBand="1"/>
      </w:tblPr>
      <w:tblGrid>
        <w:gridCol w:w="2340"/>
        <w:gridCol w:w="2340"/>
        <w:gridCol w:w="2340"/>
        <w:gridCol w:w="2340"/>
      </w:tblGrid>
      <w:tr w14:paraId="2817E372" w14:textId="77777777">
        <w:tc>
          <w:tcPr>
            <w:tcW w:w="1440" w:type="dxa"/>
            <w:shd w:val="clear" w:color="auto" w:fill="5A2A4D"/>
            <w:tcBorders>
              <w:top w:val="single" w:color="D6C5CF" w:sz="4"/>
              <w:left w:val="single" w:color="D6C5CF" w:sz="4"/>
              <w:bottom w:val="single" w:color="D6C5CF" w:sz="4"/>
              <w:right w:val="single" w:color="D6C5CF" w:sz="4"/>
            </w:tcBorders>
          </w:tcPr>
          <w:p w14:paraId="2AE331A5" w14:textId="77777777">
            <w:pPr>
              <w:spacing w:before="60" w:after="60"/>
            </w:pPr>
            <w:r>
              <w:rPr>
                <w:rFonts w:ascii="Calibri" w:hAnsi="Calibri"/>
                <w:b/>
                <w:color w:val="FFFFFF"/>
                <w:sz w:val="21"/>
              </w:rPr>
              <w:t>Version</w:t>
            </w:r>
          </w:p>
        </w:tc>
        <w:tc>
          <w:tcPr>
            <w:tcW w:w="1584" w:type="dxa"/>
            <w:shd w:val="clear" w:color="auto" w:fill="5A2A4D"/>
            <w:tcBorders>
              <w:top w:val="single" w:color="D6C5CF" w:sz="4"/>
              <w:left w:val="single" w:color="D6C5CF" w:sz="4"/>
              <w:bottom w:val="single" w:color="D6C5CF" w:sz="4"/>
              <w:right w:val="single" w:color="D6C5CF" w:sz="4"/>
            </w:tcBorders>
          </w:tcPr>
          <w:p w14:paraId="491072FA" w14:textId="77777777">
            <w:pPr>
              <w:spacing w:before="60" w:after="60"/>
            </w:pPr>
            <w:r>
              <w:rPr>
                <w:rFonts w:ascii="Calibri" w:hAnsi="Calibri"/>
                <w:b/>
                <w:color w:val="FFFFFF"/>
                <w:sz w:val="21"/>
              </w:rPr>
              <w:t>Date</w:t>
            </w:r>
          </w:p>
        </w:tc>
        <w:tc>
          <w:tcPr>
            <w:tcW w:w="2880" w:type="dxa"/>
            <w:shd w:val="clear" w:color="auto" w:fill="5A2A4D"/>
            <w:tcBorders>
              <w:top w:val="single" w:color="D6C5CF" w:sz="4"/>
              <w:left w:val="single" w:color="D6C5CF" w:sz="4"/>
              <w:bottom w:val="single" w:color="D6C5CF" w:sz="4"/>
              <w:right w:val="single" w:color="D6C5CF" w:sz="4"/>
            </w:tcBorders>
          </w:tcPr>
          <w:p w14:paraId="1C7DF0E4" w14:textId="77777777">
            <w:pPr>
              <w:spacing w:before="60" w:after="60"/>
            </w:pPr>
            <w:r>
              <w:rPr>
                <w:rFonts w:ascii="Calibri" w:hAnsi="Calibri"/>
                <w:b/>
                <w:color w:val="FFFFFF"/>
                <w:sz w:val="21"/>
              </w:rPr>
              <w:t>Author</w:t>
            </w:r>
          </w:p>
        </w:tc>
        <w:tc>
          <w:tcPr>
            <w:tcW w:w="3456" w:type="dxa"/>
            <w:shd w:val="clear" w:color="auto" w:fill="5A2A4D"/>
            <w:tcBorders>
              <w:top w:val="single" w:color="D6C5CF" w:sz="4"/>
              <w:left w:val="single" w:color="D6C5CF" w:sz="4"/>
              <w:bottom w:val="single" w:color="D6C5CF" w:sz="4"/>
              <w:right w:val="single" w:color="D6C5CF" w:sz="4"/>
            </w:tcBorders>
          </w:tcPr>
          <w:p w14:paraId="51F6C5CC" w14:textId="77777777">
            <w:pPr>
              <w:spacing w:before="60" w:after="60"/>
            </w:pPr>
            <w:r>
              <w:rPr>
                <w:rFonts w:ascii="Calibri" w:hAnsi="Calibri"/>
                <w:b/>
                <w:color w:val="FFFFFF"/>
                <w:sz w:val="21"/>
              </w:rPr>
              <w:t>Change</w:t>
            </w:r>
          </w:p>
        </w:tc>
      </w:tr>
      <w:tr w14:paraId="479259AD" w14:textId="77777777">
        <w:tc>
          <w:tcPr>
            <w:tcW w:w="1440" w:type="dxa"/>
            <w:vAlign w:val="top"/>
            <w:tcBorders>
              <w:top w:val="single" w:color="D6C5CF" w:sz="4"/>
              <w:left w:val="single" w:color="D6C5CF" w:sz="4"/>
              <w:bottom w:val="single" w:color="D6C5CF" w:sz="4"/>
              <w:right w:val="single" w:color="D6C5CF" w:sz="4"/>
            </w:tcBorders>
          </w:tcPr>
          <w:p w14:paraId="42F2FB18" w14:textId="77777777">
            <w:pPr>
              <w:spacing w:before="60" w:after="60"/>
            </w:pPr>
            <w:r>
              <w:rPr>
                <w:rFonts w:ascii="Calibri" w:hAnsi="Calibri"/>
                <w:b/>
                <w:color w:val="2B2B2B"/>
                <w:sz w:val="20"/>
              </w:rPr>
              <w:t>Sample v1.0</w:t>
            </w:r>
          </w:p>
        </w:tc>
        <w:tc>
          <w:tcPr>
            <w:tcW w:w="1584" w:type="dxa"/>
            <w:vAlign w:val="top"/>
            <w:tcBorders>
              <w:top w:val="single" w:color="D6C5CF" w:sz="4"/>
              <w:left w:val="single" w:color="D6C5CF" w:sz="4"/>
              <w:bottom w:val="single" w:color="D6C5CF" w:sz="4"/>
              <w:right w:val="single" w:color="D6C5CF" w:sz="4"/>
            </w:tcBorders>
          </w:tcPr>
          <w:p w14:paraId="743A0E78" w14:textId="77777777">
            <w:pPr>
              <w:spacing w:before="60" w:after="60"/>
            </w:pPr>
            <w:r>
              <w:rPr>
                <w:rFonts w:ascii="Calibri" w:hAnsi="Calibri"/>
                <w:b w:val="0"/>
                <w:color w:val="2B2B2B"/>
                <w:sz w:val="20"/>
              </w:rPr>
              <w:t>2026-05-28</w:t>
            </w:r>
          </w:p>
        </w:tc>
        <w:tc>
          <w:tcPr>
            <w:tcW w:w="2880" w:type="dxa"/>
            <w:vAlign w:val="top"/>
            <w:tcBorders>
              <w:top w:val="single" w:color="D6C5CF" w:sz="4"/>
              <w:left w:val="single" w:color="D6C5CF" w:sz="4"/>
              <w:bottom w:val="single" w:color="D6C5CF" w:sz="4"/>
              <w:right w:val="single" w:color="D6C5CF" w:sz="4"/>
            </w:tcBorders>
          </w:tcPr>
          <w:p w14:paraId="6D61155B" w14:textId="77777777">
            <w:pPr>
              <w:spacing w:before="60" w:after="60"/>
            </w:pPr>
            <w:r>
              <w:rPr>
                <w:rFonts w:ascii="Calibri" w:hAnsi="Calibri"/>
                <w:b w:val="0"/>
                <w:color w:val="2B2B2B"/>
                <w:sz w:val="20"/>
              </w:rPr>
              <w:t>Controller</w:t>
            </w:r>
          </w:p>
        </w:tc>
        <w:tc>
          <w:tcPr>
            <w:tcW w:w="3456" w:type="dxa"/>
            <w:vAlign w:val="top"/>
            <w:tcBorders>
              <w:top w:val="single" w:color="D6C5CF" w:sz="4"/>
              <w:left w:val="single" w:color="D6C5CF" w:sz="4"/>
              <w:bottom w:val="single" w:color="D6C5CF" w:sz="4"/>
              <w:right w:val="single" w:color="D6C5CF" w:sz="4"/>
            </w:tcBorders>
          </w:tcPr>
          <w:p w14:paraId="351C4F73" w14:textId="77777777">
            <w:pPr>
              <w:spacing w:before="60" w:after="60"/>
            </w:pPr>
            <w:r>
              <w:rPr>
                <w:rFonts w:ascii="Calibri" w:hAnsi="Calibri"/>
                <w:b w:val="0"/>
                <w:color w:val="2B2B2B"/>
                <w:sz w:val="20"/>
              </w:rPr>
              <w:t>Training example for the Financial Foundations cohort.</w:t>
            </w:r>
          </w:p>
        </w:tc>
      </w:tr>
    </w:tbl>
    <w:p w14:paraId="64D01A4D" w14:textId="77777777">
      <w:pPr>
        <w:spacing w:before="200" w:after="0"/>
      </w:pPr>
      <w:r>
        <w:rPr>
          <w:rFonts w:ascii="Calibri" w:hAnsi="Calibri"/>
          <w:b w:val="0"/>
          <w:color w:val="707070"/>
          <w:sz w:val="17"/>
        </w:rPr>
        <w:t>This SOP distinguishes accounting best practice, internal-control recommendation, and operational preference from regulatory requirement. All applicable state cannabis regulations and 280E tax references in these examples should be verified with cannabis counsel and a qualified CPA before adoption. These materials are training examples and are not legal or tax advice.</w:t>
      </w:r>
    </w:p>
    <w:p>
      <w:r/>
    </w:p>
    <w:p>
      <w:pPr>
        <w:spacing w:after="40"/>
      </w:pPr>
      <w:r>
        <w:rPr>
          <w:rFonts w:ascii="Calibri" w:hAnsi="Calibri"/>
          <w:b/>
          <w:color w:val="707070"/>
          <w:sz w:val="16"/>
          <w:spacing w:val="30"/>
        </w:rPr>
        <w:t>FINANCIAL FOUNDATIONS · STANDARD OPERATING PROCEDURE EXAMPLE — FOR TRAINING USE</w:t>
      </w:r>
    </w:p>
    <w:p>
      <w:pPr>
        <w:spacing w:after="20"/>
      </w:pPr>
      <w:r>
        <w:rPr>
          <w:rFonts w:ascii="Calibri" w:hAnsi="Calibri"/>
          <w:b/>
          <w:color w:val="5A2A4D"/>
          <w:sz w:val="48"/>
        </w:rPr>
        <w:t>Form 8300 — Large Cash Receipt Reporting</w:t>
      </w:r>
    </w:p>
    <w:p>
      <w:pPr>
        <w:spacing w:after="120"/>
        <w:pBdr>
          <w:bottom w:val="single" w:sz="10" w:space="3" w:color="D8C7D1"/>
        </w:pBdr>
      </w:pPr>
      <w:r>
        <w:rPr>
          <w:rFonts w:ascii="Calibri" w:hAnsi="Calibri"/>
          <w:color w:val="2B2B2B"/>
          <w:sz w:val="24"/>
        </w:rPr>
        <w:t>Priority-1 Standard Operating Procedure · the Company</w:t>
      </w:r>
    </w:p>
    <w:p>
      <w:pPr>
        <w:spacing w:after="180"/>
      </w:pPr>
      <w:r>
        <w:rPr>
          <w:rFonts w:ascii="Calibri" w:hAnsi="Calibri"/>
          <w:i/>
          <w:color w:val="707070"/>
          <w:sz w:val="16"/>
        </w:rPr>
        <w:t>Classification key: R = Regulatory Requirement · IC = Internal Control · BP = Accounting Best Practice · OP = Operational Preference</w:t>
      </w:r>
    </w:p>
    <w:p>
      <w:r>
        <w:rPr>
          <w:i/>
          <w:sz w:val="18"/>
        </w:rPr>
        <w:t>Applies to cannabis retail, cultivation, and processing operations. Examples are illustrative and may apply differently depending on business type.</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800"/>
            <w:shd w:val="clear" w:color="auto" w:fill="EFE3EA"/>
          </w:tcPr>
          <w:p>
            <w:pPr>
              <w:spacing w:after="0" w:before="0"/>
            </w:pPr>
            <w:r/>
            <w:r>
              <w:rPr>
                <w:rFonts w:ascii="Calibri" w:hAnsi="Calibri"/>
                <w:b/>
                <w:i w:val="0"/>
                <w:color w:val="5A2A4D"/>
                <w:sz w:val="18"/>
              </w:rPr>
              <w:t>SOP ID</w:t>
            </w:r>
          </w:p>
        </w:tc>
        <w:tc>
          <w:tcPr>
            <w:tcW w:type="dxa" w:w="2880"/>
          </w:tcPr>
          <w:p>
            <w:pPr>
              <w:spacing w:after="0" w:before="0"/>
            </w:pPr>
            <w:r>
              <w:t>SOP 21 — Form 8300 — Large Cash Receipt Reporting</w:t>
            </w:r>
          </w:p>
        </w:tc>
        <w:tc>
          <w:tcPr>
            <w:tcW w:type="dxa" w:w="1800"/>
            <w:shd w:val="clear" w:color="auto" w:fill="EFE3EA"/>
          </w:tcPr>
          <w:p>
            <w:pPr>
              <w:spacing w:after="0" w:before="0"/>
            </w:pPr>
            <w:r/>
            <w:r>
              <w:rPr>
                <w:rFonts w:ascii="Calibri" w:hAnsi="Calibri"/>
                <w:b/>
                <w:i w:val="0"/>
                <w:color w:val="5A2A4D"/>
                <w:sz w:val="18"/>
              </w:rPr>
              <w:t>Version</w:t>
            </w:r>
          </w:p>
        </w:tc>
        <w:tc>
          <w:tcPr>
            <w:tcW w:type="dxa" w:w="2880"/>
          </w:tcPr>
          <w:p>
            <w:pPr>
              <w:spacing w:after="0" w:before="0"/>
            </w:pPr>
            <w:r>
              <w:t>Sample v1.0</w:t>
            </w:r>
          </w:p>
        </w:tc>
      </w:tr>
      <w:tr>
        <w:tc>
          <w:tcPr>
            <w:tcW w:type="dxa" w:w="1800"/>
            <w:shd w:val="clear" w:color="auto" w:fill="EFE3EA"/>
          </w:tcPr>
          <w:p>
            <w:pPr>
              <w:spacing w:after="0" w:before="0"/>
            </w:pPr>
            <w:r/>
            <w:r>
              <w:rPr>
                <w:rFonts w:ascii="Calibri" w:hAnsi="Calibri"/>
                <w:b/>
                <w:i w:val="0"/>
                <w:color w:val="5A2A4D"/>
                <w:sz w:val="18"/>
              </w:rPr>
              <w:t>Process Owner</w:t>
            </w:r>
          </w:p>
        </w:tc>
        <w:tc>
          <w:tcPr>
            <w:tcW w:type="dxa" w:w="2880"/>
          </w:tcPr>
          <w:p>
            <w:pPr>
              <w:spacing w:after="0" w:before="0"/>
            </w:pPr>
            <w:r>
              <w:t>Controller / Accounting</w:t>
            </w:r>
          </w:p>
        </w:tc>
        <w:tc>
          <w:tcPr>
            <w:tcW w:type="dxa" w:w="1800"/>
            <w:shd w:val="clear" w:color="auto" w:fill="EFE3EA"/>
          </w:tcPr>
          <w:p>
            <w:pPr>
              <w:spacing w:after="0" w:before="0"/>
            </w:pPr>
            <w:r/>
            <w:r>
              <w:rPr>
                <w:rFonts w:ascii="Calibri" w:hAnsi="Calibri"/>
                <w:b/>
                <w:i w:val="0"/>
                <w:color w:val="5A2A4D"/>
                <w:sz w:val="18"/>
              </w:rPr>
              <w:t>Effective Date</w:t>
            </w:r>
          </w:p>
        </w:tc>
        <w:tc>
          <w:tcPr>
            <w:tcW w:type="dxa" w:w="2880"/>
          </w:tcPr>
          <w:p>
            <w:pPr>
              <w:spacing w:after="0" w:before="0"/>
            </w:pPr>
            <w:r>
              <w:t>Sample — training use</w:t>
            </w:r>
          </w:p>
        </w:tc>
      </w:tr>
      <w:tr>
        <w:tc>
          <w:tcPr>
            <w:tcW w:type="dxa" w:w="1800"/>
            <w:shd w:val="clear" w:color="auto" w:fill="EFE3EA"/>
          </w:tcPr>
          <w:p>
            <w:pPr>
              <w:spacing w:after="0" w:before="0"/>
            </w:pPr>
            <w:r/>
            <w:r>
              <w:rPr>
                <w:rFonts w:ascii="Calibri" w:hAnsi="Calibri"/>
                <w:b/>
                <w:i w:val="0"/>
                <w:color w:val="5A2A4D"/>
                <w:sz w:val="18"/>
              </w:rPr>
              <w:t>Prepared By</w:t>
            </w:r>
          </w:p>
        </w:tc>
        <w:tc>
          <w:tcPr>
            <w:tcW w:type="dxa" w:w="2880"/>
          </w:tcPr>
          <w:p>
            <w:pPr>
              <w:spacing w:after="0" w:before="0"/>
            </w:pPr>
            <w:r>
              <w:t>Controller</w:t>
            </w:r>
          </w:p>
        </w:tc>
        <w:tc>
          <w:tcPr>
            <w:tcW w:type="dxa" w:w="1800"/>
            <w:shd w:val="clear" w:color="auto" w:fill="EFE3EA"/>
          </w:tcPr>
          <w:p>
            <w:pPr>
              <w:spacing w:after="0" w:before="0"/>
            </w:pPr>
            <w:r/>
            <w:r>
              <w:rPr>
                <w:rFonts w:ascii="Calibri" w:hAnsi="Calibri"/>
                <w:b/>
                <w:i w:val="0"/>
                <w:color w:val="5A2A4D"/>
                <w:sz w:val="18"/>
              </w:rPr>
              <w:t>Review Cadence</w:t>
            </w:r>
          </w:p>
        </w:tc>
        <w:tc>
          <w:tcPr>
            <w:tcW w:type="dxa" w:w="2880"/>
          </w:tcPr>
          <w:p>
            <w:pPr>
              <w:spacing w:after="0" w:before="0"/>
            </w:pPr>
            <w:r>
              <w:t>Annual, or on rule change</w:t>
            </w:r>
          </w:p>
        </w:tc>
      </w:tr>
    </w:tbl>
    <w:p>
      <w:pPr>
        <w:spacing w:before="240" w:after="100"/>
        <w:pBdr>
          <w:bottom w:val="single" w:sz="10" w:space="3" w:color="D8C7D1"/>
        </w:pBdr>
      </w:pPr>
      <w:r>
        <w:rPr>
          <w:rFonts w:ascii="Calibri" w:hAnsi="Calibri"/>
          <w:b/>
          <w:color w:val="5A2A4D"/>
          <w:sz w:val="23"/>
          <w:spacing w:val="14"/>
        </w:rPr>
        <w:t>1. Purpose</w:t>
      </w:r>
    </w:p>
    <w:p>
      <w:pPr>
        <w:spacing w:after="120"/>
      </w:pPr>
      <w:r>
        <w:rPr>
          <w:rFonts w:ascii="Calibri" w:hAnsi="Calibri"/>
          <w:i w:val="0"/>
          <w:color w:val="2B2B2B"/>
          <w:sz w:val="21"/>
        </w:rPr>
        <w:t>This procedure establishes how Company identifies, documents, and reports cash receipts that trigger IRS Form 8300, the Report of Cash Payments Over $10,000 Received in a Trade or Business. Because cannabis is a cash-intensive industry, Company is more likely than most businesses to receive reportable cash — particularly on wholesale and bulk transactions — and a missed or late filing carries significant federal penalties. This procedure ensures reportable receipts are recognized at the point of payment, filed accurately and on time, and supported by complete records.</w:t>
      </w:r>
    </w:p>
    <w:p>
      <w:pPr>
        <w:spacing w:before="240" w:after="100"/>
        <w:pBdr>
          <w:bottom w:val="single" w:sz="10" w:space="3" w:color="D8C7D1"/>
        </w:pBdr>
      </w:pPr>
      <w:r>
        <w:rPr>
          <w:rFonts w:ascii="Calibri" w:hAnsi="Calibri"/>
          <w:b/>
          <w:color w:val="5A2A4D"/>
          <w:sz w:val="23"/>
          <w:spacing w:val="14"/>
        </w:rPr>
        <w:t>2. Scope</w:t>
      </w:r>
    </w:p>
    <w:p>
      <w:pPr>
        <w:spacing w:after="120"/>
      </w:pPr>
      <w:r>
        <w:rPr>
          <w:rFonts w:ascii="Calibri" w:hAnsi="Calibri"/>
          <w:i w:val="0"/>
          <w:color w:val="2B2B2B"/>
          <w:sz w:val="21"/>
        </w:rPr>
        <w:t>This procedure applies to every cash payment Company receives in the course of business — across retail, cultivation, and processing operations — whether in a single transaction or in related transactions that together exceed $10,000. “Cash” here means U.S. and foreign currency and, in certain reporting transactions, cashier’s checks, bank drafts, traveler’s checks, and money orders with a face value of $10,000 or less. Personal checks, ACH, wires, and most card payments are not “cash” for Form 8300 and are outside this procedure. This procedure is not tax advice; confirm application with the Company’s tax advisor.</w:t>
      </w:r>
    </w:p>
    <w:p>
      <w:pPr>
        <w:spacing w:before="240" w:after="100"/>
        <w:pBdr>
          <w:bottom w:val="single" w:sz="10" w:space="3" w:color="D8C7D1"/>
        </w:pBdr>
      </w:pPr>
      <w:r>
        <w:rPr>
          <w:rFonts w:ascii="Calibri" w:hAnsi="Calibri"/>
          <w:b/>
          <w:color w:val="5A2A4D"/>
          <w:sz w:val="23"/>
          <w:spacing w:val="14"/>
        </w:rPr>
        <w:t>3. Definitions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376"/>
            <w:shd w:val="clear" w:color="auto" w:fill="5A2A4D"/>
          </w:tcPr>
          <w:p>
            <w:pPr>
              <w:spacing w:after="0" w:before="0"/>
            </w:pPr>
            <w:r/>
            <w:r>
              <w:rPr>
                <w:rFonts w:ascii="Calibri" w:hAnsi="Calibri"/>
                <w:b/>
                <w:i w:val="0"/>
                <w:color w:val="FFFFFF"/>
                <w:sz w:val="17"/>
              </w:rPr>
              <w:t>Term</w:t>
            </w:r>
          </w:p>
        </w:tc>
        <w:tc>
          <w:tcPr>
            <w:tcW w:type="dxa" w:w="6984"/>
            <w:shd w:val="clear" w:color="auto" w:fill="5A2A4D"/>
          </w:tcPr>
          <w:p>
            <w:pPr>
              <w:spacing w:after="0" w:before="0"/>
            </w:pPr>
            <w:r/>
            <w:r>
              <w:rPr>
                <w:rFonts w:ascii="Calibri" w:hAnsi="Calibri"/>
                <w:b/>
                <w:i w:val="0"/>
                <w:color w:val="FFFFFF"/>
                <w:sz w:val="17"/>
              </w:rPr>
              <w:t>Definition</w:t>
            </w:r>
          </w:p>
        </w:tc>
      </w:tr>
      <w:tr>
        <w:tc>
          <w:tcPr>
            <w:tcW w:type="dxa" w:w="2376"/>
            <w:vAlign w:val="center"/>
          </w:tcPr>
          <w:p>
            <w:pPr>
              <w:spacing w:after="0" w:before="0"/>
            </w:pPr>
            <w:r>
              <w:t>Cash</w:t>
            </w:r>
          </w:p>
        </w:tc>
        <w:tc>
          <w:tcPr>
            <w:tcW w:type="dxa" w:w="6984"/>
            <w:vAlign w:val="center"/>
          </w:tcPr>
          <w:p>
            <w:pPr>
              <w:spacing w:after="0" w:before="0"/>
            </w:pPr>
            <w:r>
              <w:t>U.S. and foreign coins and currency. Also includes cashier’s checks, bank drafts, traveler’s checks, and money orders with a face value of $10,000 or less when received in a designated reporting transaction or one structured to avoid reporting. Personal checks are not cash.</w:t>
            </w:r>
          </w:p>
        </w:tc>
      </w:tr>
      <w:tr>
        <w:tc>
          <w:tcPr>
            <w:tcW w:type="dxa" w:w="2376"/>
            <w:vAlign w:val="center"/>
          </w:tcPr>
          <w:p>
            <w:pPr>
              <w:spacing w:after="0" w:before="0"/>
            </w:pPr>
            <w:r>
              <w:t>Reportable receipt</w:t>
            </w:r>
          </w:p>
        </w:tc>
        <w:tc>
          <w:tcPr>
            <w:tcW w:type="dxa" w:w="6984"/>
            <w:vAlign w:val="center"/>
          </w:tcPr>
          <w:p>
            <w:pPr>
              <w:spacing w:after="0" w:before="0"/>
            </w:pPr>
            <w:r>
              <w:t>More than $10,000 in cash received in one transaction, or in related transactions, in the course of the Company’s trade or business.</w:t>
            </w:r>
          </w:p>
        </w:tc>
      </w:tr>
      <w:tr>
        <w:tc>
          <w:tcPr>
            <w:tcW w:type="dxa" w:w="2376"/>
            <w:vAlign w:val="center"/>
          </w:tcPr>
          <w:p>
            <w:pPr>
              <w:spacing w:after="0" w:before="0"/>
            </w:pPr>
            <w:r>
              <w:t>Related transactions</w:t>
            </w:r>
          </w:p>
        </w:tc>
        <w:tc>
          <w:tcPr>
            <w:tcW w:type="dxa" w:w="6984"/>
            <w:vAlign w:val="center"/>
          </w:tcPr>
          <w:p>
            <w:pPr>
              <w:spacing w:after="0" w:before="0"/>
            </w:pPr>
            <w:r>
              <w:t>Two or more transactions between the same payer (or their agent) within 24 hours, or transactions Company knows or has reason to know are connected, occurring within a 12-month period.</w:t>
            </w:r>
          </w:p>
        </w:tc>
      </w:tr>
      <w:tr>
        <w:tc>
          <w:tcPr>
            <w:tcW w:type="dxa" w:w="2376"/>
            <w:vAlign w:val="center"/>
          </w:tcPr>
          <w:p>
            <w:pPr>
              <w:spacing w:after="0" w:before="0"/>
            </w:pPr>
            <w:r>
              <w:t>Form 8300</w:t>
            </w:r>
          </w:p>
        </w:tc>
        <w:tc>
          <w:tcPr>
            <w:tcW w:type="dxa" w:w="6984"/>
            <w:vAlign w:val="center"/>
          </w:tcPr>
          <w:p>
            <w:pPr>
              <w:spacing w:after="0" w:before="0"/>
            </w:pPr>
            <w:r>
              <w:t>The IRS/FinCEN Report of Cash Payments Over $10,000 Received in a Trade or Business, filed within 15 days of the reportable receipt.</w:t>
            </w:r>
          </w:p>
        </w:tc>
      </w:tr>
      <w:tr>
        <w:tc>
          <w:tcPr>
            <w:tcW w:type="dxa" w:w="2376"/>
            <w:vAlign w:val="center"/>
          </w:tcPr>
          <w:p>
            <w:pPr>
              <w:spacing w:after="0" w:before="0"/>
            </w:pPr>
            <w:r>
              <w:t>Payer statement</w:t>
            </w:r>
          </w:p>
        </w:tc>
        <w:tc>
          <w:tcPr>
            <w:tcW w:type="dxa" w:w="6984"/>
            <w:vAlign w:val="center"/>
          </w:tcPr>
          <w:p>
            <w:pPr>
              <w:spacing w:after="0" w:before="0"/>
            </w:pPr>
            <w:r>
              <w:t>The written annual statement Company must furnish to each person named on a filed Form 8300 by January 31 of the following year.</w:t>
            </w:r>
          </w:p>
        </w:tc>
      </w:tr>
      <w:tr>
        <w:tc>
          <w:tcPr>
            <w:tcW w:type="dxa" w:w="2376"/>
            <w:vAlign w:val="center"/>
          </w:tcPr>
          <w:p>
            <w:pPr>
              <w:spacing w:after="0" w:before="0"/>
            </w:pPr>
            <w:r>
              <w:t>Structuring</w:t>
            </w:r>
          </w:p>
        </w:tc>
        <w:tc>
          <w:tcPr>
            <w:tcW w:type="dxa" w:w="6984"/>
            <w:vAlign w:val="center"/>
          </w:tcPr>
          <w:p>
            <w:pPr>
              <w:spacing w:after="0" w:before="0"/>
            </w:pPr>
            <w:r>
              <w:t>Breaking a payment into smaller amounts to evade the $10,000 threshold. Structuring is illegal and is itself reportable as a suspicious transaction.</w:t>
            </w:r>
          </w:p>
        </w:tc>
      </w:tr>
    </w:tbl>
    <w:p>
      <w:pPr>
        <w:spacing w:before="240" w:after="100"/>
        <w:pBdr>
          <w:bottom w:val="single" w:sz="10" w:space="3" w:color="D8C7D1"/>
        </w:pBdr>
      </w:pPr>
      <w:r>
        <w:rPr>
          <w:rFonts w:ascii="Calibri" w:hAnsi="Calibri"/>
          <w:b/>
          <w:color w:val="5A2A4D"/>
          <w:sz w:val="23"/>
          <w:spacing w:val="14"/>
        </w:rPr>
        <w:t>4. Roles &amp; Responsibilities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4680"/>
        <w:gridCol w:w="4680"/>
      </w:tblGrid>
      <w:tr>
        <w:tc>
          <w:tcPr>
            <w:tcW w:type="dxa" w:w="2808"/>
            <w:shd w:val="clear" w:color="auto" w:fill="5A2A4D"/>
          </w:tcPr>
          <w:p>
            <w:pPr>
              <w:spacing w:after="0" w:before="0"/>
            </w:pPr>
            <w:r/>
            <w:r>
              <w:rPr>
                <w:rFonts w:ascii="Calibri" w:hAnsi="Calibri"/>
                <w:b/>
                <w:i w:val="0"/>
                <w:color w:val="FFFFFF"/>
                <w:sz w:val="17"/>
              </w:rPr>
              <w:t>Role</w:t>
            </w:r>
          </w:p>
        </w:tc>
        <w:tc>
          <w:tcPr>
            <w:tcW w:type="dxa" w:w="6552"/>
            <w:shd w:val="clear" w:color="auto" w:fill="5A2A4D"/>
          </w:tcPr>
          <w:p>
            <w:pPr>
              <w:spacing w:after="0" w:before="0"/>
            </w:pPr>
            <w:r/>
            <w:r>
              <w:rPr>
                <w:rFonts w:ascii="Calibri" w:hAnsi="Calibri"/>
                <w:b/>
                <w:i w:val="0"/>
                <w:color w:val="FFFFFF"/>
                <w:sz w:val="17"/>
              </w:rPr>
              <w:t>Responsibility</w:t>
            </w:r>
          </w:p>
        </w:tc>
      </w:tr>
      <w:tr>
        <w:tc>
          <w:tcPr>
            <w:tcW w:type="dxa" w:w="2808"/>
            <w:vAlign w:val="center"/>
          </w:tcPr>
          <w:p>
            <w:pPr>
              <w:spacing w:after="0" w:before="0"/>
            </w:pPr>
            <w:r>
              <w:t>Front-line / Sales Staff</w:t>
            </w:r>
          </w:p>
        </w:tc>
        <w:tc>
          <w:tcPr>
            <w:tcW w:type="dxa" w:w="6552"/>
            <w:vAlign w:val="center"/>
          </w:tcPr>
          <w:p>
            <w:pPr>
              <w:spacing w:after="0" w:before="0"/>
            </w:pPr>
            <w:r>
              <w:t>Recognize when a cash payment — alone or combined with prior cash from the same payer — may exceed $10,000; collect payer identification at the time of payment; route the transaction to Accounting the same day.</w:t>
            </w:r>
          </w:p>
        </w:tc>
      </w:tr>
      <w:tr>
        <w:tc>
          <w:tcPr>
            <w:tcW w:type="dxa" w:w="2808"/>
            <w:vAlign w:val="center"/>
          </w:tcPr>
          <w:p>
            <w:pPr>
              <w:spacing w:after="0" w:before="0"/>
            </w:pPr>
            <w:r>
              <w:t>Accounting</w:t>
            </w:r>
          </w:p>
        </w:tc>
        <w:tc>
          <w:tcPr>
            <w:tcW w:type="dxa" w:w="6552"/>
            <w:vAlign w:val="center"/>
          </w:tcPr>
          <w:p>
            <w:pPr>
              <w:spacing w:after="0" w:before="0"/>
            </w:pPr>
            <w:r>
              <w:t>Maintain a payer-level running tally of cash received; prepare and file Form 8300 within 15 days; furnish payer statements by January 31; retain records for five years.</w:t>
            </w:r>
          </w:p>
        </w:tc>
      </w:tr>
      <w:tr>
        <w:tc>
          <w:tcPr>
            <w:tcW w:type="dxa" w:w="2808"/>
            <w:vAlign w:val="center"/>
          </w:tcPr>
          <w:p>
            <w:pPr>
              <w:spacing w:after="0" w:before="0"/>
            </w:pPr>
            <w:r>
              <w:t>Controller</w:t>
            </w:r>
          </w:p>
        </w:tc>
        <w:tc>
          <w:tcPr>
            <w:tcW w:type="dxa" w:w="6552"/>
            <w:vAlign w:val="center"/>
          </w:tcPr>
          <w:p>
            <w:pPr>
              <w:spacing w:after="0" w:before="0"/>
            </w:pPr>
            <w:r>
              <w:t>Owns Form 8300 compliance; reviews each filing before submission; monitors aggregation across locations; approves any suspicious-transaction filing; maintains e-filing enrollment.</w:t>
            </w:r>
          </w:p>
        </w:tc>
      </w:tr>
      <w:tr>
        <w:tc>
          <w:tcPr>
            <w:tcW w:type="dxa" w:w="2808"/>
            <w:vAlign w:val="center"/>
          </w:tcPr>
          <w:p>
            <w:pPr>
              <w:spacing w:after="0" w:before="0"/>
            </w:pPr>
            <w:r>
              <w:t>Owner</w:t>
            </w:r>
          </w:p>
        </w:tc>
        <w:tc>
          <w:tcPr>
            <w:tcW w:type="dxa" w:w="6552"/>
            <w:vAlign w:val="center"/>
          </w:tcPr>
          <w:p>
            <w:pPr>
              <w:spacing w:after="0" w:before="0"/>
            </w:pPr>
            <w:r>
              <w:t>Notified of all filings and of any suspected structuring; final authority on escalations and on engaging counsel or the tax advisor.</w:t>
            </w:r>
          </w:p>
        </w:tc>
      </w:tr>
      <w:tr>
        <w:tc>
          <w:tcPr>
            <w:tcW w:type="dxa" w:w="2808"/>
            <w:vAlign w:val="center"/>
          </w:tcPr>
          <w:p>
            <w:pPr>
              <w:spacing w:after="0" w:before="0"/>
            </w:pPr>
            <w:r>
              <w:t>Tax Advisor / Counsel (external)</w:t>
            </w:r>
          </w:p>
        </w:tc>
        <w:tc>
          <w:tcPr>
            <w:tcW w:type="dxa" w:w="6552"/>
            <w:vAlign w:val="center"/>
          </w:tcPr>
          <w:p>
            <w:pPr>
              <w:spacing w:after="0" w:before="0"/>
            </w:pPr>
            <w:r>
              <w:t>Confirms current Form 8300 rules and thresholds; advises on complex aggregation, monetary-instrument, and suspicious-transaction questions.</w:t>
            </w:r>
          </w:p>
        </w:tc>
      </w:tr>
    </w:tbl>
    <w:p>
      <w:pPr>
        <w:spacing w:before="240" w:after="100"/>
        <w:pBdr>
          <w:bottom w:val="single" w:sz="10" w:space="3" w:color="D8C7D1"/>
        </w:pBdr>
      </w:pPr>
      <w:r>
        <w:rPr>
          <w:rFonts w:ascii="Calibri" w:hAnsi="Calibri"/>
          <w:b/>
          <w:color w:val="5A2A4D"/>
          <w:sz w:val="23"/>
          <w:spacing w:val="14"/>
        </w:rPr>
        <w:t>5. Procedure</w:t>
      </w:r>
    </w:p>
    <w:p>
      <w:pPr/>
      <w:r>
        <w:rPr>
          <w:rFonts w:ascii="Calibri" w:hAnsi="Calibri"/>
          <w:b/>
          <w:color w:val="5A2A4D"/>
          <w:sz w:val="20"/>
        </w:rPr>
        <w:t>A. Identify a Reportable Receipt</w:t>
      </w:r>
    </w:p>
    <w:p>
      <w:pPr>
        <w:pStyle w:val="ListNumber"/>
        <w:numPr>
          <w:ilvl w:val="0"/>
          <w:numId w:val="15"/>
        </w:numPr>
      </w:pPr>
      <w:r>
        <w:rPr>
          <w:rFonts w:ascii="Calibri" w:hAnsi="Calibri"/>
          <w:color w:val="2B2B2B"/>
          <w:sz w:val="19"/>
        </w:rPr>
        <w:t>At the point of payment, the staff member determines whether the cash — alone or combined with other cash from the same payer — exceeds $10,000. Monetary instruments of $10,000 or less are counted only when received in a designated reporting transaction or one structured to avoid reporting.</w:t>
      </w:r>
    </w:p>
    <w:p>
      <w:pPr>
        <w:pStyle w:val="ListNumber"/>
        <w:numPr>
          <w:ilvl w:val="0"/>
          <w:numId w:val="15"/>
        </w:numPr>
      </w:pPr>
      <w:r>
        <w:rPr>
          <w:rFonts w:ascii="Calibri" w:hAnsi="Calibri"/>
          <w:color w:val="2B2B2B"/>
          <w:sz w:val="19"/>
        </w:rPr>
        <w:t>Accounting maintains a rolling 12-month tally of cash received by payer so related transactions that cumulatively exceed $10,000 are caught.</w:t>
      </w:r>
    </w:p>
    <w:p>
      <w:pPr>
        <w:pStyle w:val="ListNumber"/>
        <w:numPr>
          <w:ilvl w:val="0"/>
          <w:numId w:val="15"/>
        </w:numPr>
      </w:pPr>
      <w:r>
        <w:rPr>
          <w:rFonts w:ascii="Calibri" w:hAnsi="Calibri"/>
          <w:color w:val="2B2B2B"/>
          <w:sz w:val="19"/>
        </w:rPr>
        <w:t>When a receipt — or the running aggregate — first exceeds $10,000, the transaction is flagged for Form 8300 filing.</w:t>
      </w:r>
    </w:p>
    <w:p>
      <w:pPr/>
      <w:r>
        <w:rPr>
          <w:rFonts w:ascii="Calibri" w:hAnsi="Calibri"/>
          <w:b/>
          <w:color w:val="5A2A4D"/>
          <w:sz w:val="20"/>
        </w:rPr>
        <w:t>B. Collect Payer Information</w:t>
      </w:r>
    </w:p>
    <w:p>
      <w:pPr>
        <w:pStyle w:val="ListNumber"/>
        <w:numPr>
          <w:ilvl w:val="0"/>
          <w:numId w:val="15"/>
        </w:numPr>
      </w:pPr>
      <w:r>
        <w:rPr>
          <w:rFonts w:ascii="Calibri" w:hAnsi="Calibri"/>
          <w:color w:val="2B2B2B"/>
          <w:sz w:val="19"/>
        </w:rPr>
        <w:t>At or before the time of the reportable payment, the staff member collects the payer’s legal name, address, taxpayer identification number (SSN or EIN), and date of birth where required, and verifies identity from an acceptable document.</w:t>
      </w:r>
    </w:p>
    <w:p>
      <w:pPr>
        <w:pStyle w:val="ListNumber"/>
        <w:numPr>
          <w:ilvl w:val="0"/>
          <w:numId w:val="15"/>
        </w:numPr>
      </w:pPr>
      <w:r>
        <w:rPr>
          <w:rFonts w:ascii="Calibri" w:hAnsi="Calibri"/>
          <w:color w:val="2B2B2B"/>
          <w:sz w:val="19"/>
        </w:rPr>
        <w:t>If the cash is received on behalf of another person, information on that person is also collected.</w:t>
      </w:r>
    </w:p>
    <w:p>
      <w:pPr>
        <w:pStyle w:val="ListNumber"/>
        <w:numPr>
          <w:ilvl w:val="0"/>
          <w:numId w:val="15"/>
        </w:numPr>
      </w:pPr>
      <w:r>
        <w:rPr>
          <w:rFonts w:ascii="Calibri" w:hAnsi="Calibri"/>
          <w:color w:val="2B2B2B"/>
          <w:sz w:val="19"/>
        </w:rPr>
        <w:t>Identification details are recorded on the Form 8300 worksheet and stored securely with restricted access.</w:t>
      </w:r>
    </w:p>
    <w:p>
      <w:pPr/>
      <w:r>
        <w:rPr>
          <w:rFonts w:ascii="Calibri" w:hAnsi="Calibri"/>
          <w:b/>
          <w:color w:val="5A2A4D"/>
          <w:sz w:val="20"/>
        </w:rPr>
        <w:t>C. File Form 8300</w:t>
      </w:r>
    </w:p>
    <w:p>
      <w:pPr>
        <w:pStyle w:val="ListNumber"/>
        <w:numPr>
          <w:ilvl w:val="0"/>
          <w:numId w:val="15"/>
        </w:numPr>
      </w:pPr>
      <w:r>
        <w:rPr>
          <w:rFonts w:ascii="Calibri" w:hAnsi="Calibri"/>
          <w:color w:val="2B2B2B"/>
          <w:sz w:val="19"/>
        </w:rPr>
        <w:t>Accounting files Form 8300 within 15 days of the date the reportable cash was received (or the date the aggregate first exceeded $10,000).</w:t>
      </w:r>
    </w:p>
    <w:p>
      <w:pPr>
        <w:pStyle w:val="ListNumber"/>
        <w:numPr>
          <w:ilvl w:val="0"/>
          <w:numId w:val="15"/>
        </w:numPr>
      </w:pPr>
      <w:r>
        <w:rPr>
          <w:rFonts w:ascii="Calibri" w:hAnsi="Calibri"/>
          <w:color w:val="2B2B2B"/>
          <w:sz w:val="19"/>
        </w:rPr>
        <w:t>Company e-files through the FinCEN BSA E-Filing System when it is required to file 10 or more information returns of other types during the year; otherwise it may file on paper. A hardship waiver is requested on Form 8508 only if applicable.</w:t>
      </w:r>
    </w:p>
    <w:p>
      <w:pPr>
        <w:pStyle w:val="ListNumber"/>
        <w:numPr>
          <w:ilvl w:val="0"/>
          <w:numId w:val="15"/>
        </w:numPr>
      </w:pPr>
      <w:r>
        <w:rPr>
          <w:rFonts w:ascii="Calibri" w:hAnsi="Calibri"/>
          <w:color w:val="2B2B2B"/>
          <w:sz w:val="19"/>
        </w:rPr>
        <w:t>Controller reviews the completed form for accuracy and timeliness before submission; the filing confirmation is saved.</w:t>
      </w:r>
    </w:p>
    <w:p>
      <w:pPr/>
      <w:r>
        <w:rPr>
          <w:rFonts w:ascii="Calibri" w:hAnsi="Calibri"/>
          <w:b/>
          <w:color w:val="5A2A4D"/>
          <w:sz w:val="20"/>
        </w:rPr>
        <w:t>D. Furnish Payer Statements &amp; Retain Records</w:t>
      </w:r>
    </w:p>
    <w:p>
      <w:pPr>
        <w:pStyle w:val="ListNumber"/>
        <w:numPr>
          <w:ilvl w:val="0"/>
          <w:numId w:val="15"/>
        </w:numPr>
      </w:pPr>
      <w:r>
        <w:rPr>
          <w:rFonts w:ascii="Calibri" w:hAnsi="Calibri"/>
          <w:color w:val="2B2B2B"/>
          <w:sz w:val="19"/>
        </w:rPr>
        <w:t>By January 31 of the year following the payment, Accounting furnishes a written statement to each person named on a filed Form 8300, showing the Company’s name, address, contact, the aggregate reportable cash, and that the information was reported to the IRS.</w:t>
      </w:r>
    </w:p>
    <w:p>
      <w:pPr>
        <w:pStyle w:val="ListNumber"/>
        <w:numPr>
          <w:ilvl w:val="0"/>
          <w:numId w:val="15"/>
        </w:numPr>
      </w:pPr>
      <w:r>
        <w:rPr>
          <w:rFonts w:ascii="Calibri" w:hAnsi="Calibri"/>
          <w:color w:val="2B2B2B"/>
          <w:sz w:val="19"/>
        </w:rPr>
        <w:t>Company retains a copy of each Form 8300, the supporting worksheet and identification, and the payer statements for at least five years from the date filed.</w:t>
      </w:r>
    </w:p>
    <w:p>
      <w:pPr/>
      <w:r>
        <w:rPr>
          <w:rFonts w:ascii="Calibri" w:hAnsi="Calibri"/>
          <w:b/>
          <w:color w:val="5A2A4D"/>
          <w:sz w:val="20"/>
        </w:rPr>
        <w:t>E. Suspicious Transactions</w:t>
      </w:r>
    </w:p>
    <w:p>
      <w:pPr>
        <w:pStyle w:val="ListNumber"/>
        <w:numPr>
          <w:ilvl w:val="0"/>
          <w:numId w:val="15"/>
        </w:numPr>
      </w:pPr>
      <w:r>
        <w:rPr>
          <w:rFonts w:ascii="Calibri" w:hAnsi="Calibri"/>
          <w:color w:val="2B2B2B"/>
          <w:sz w:val="19"/>
        </w:rPr>
        <w:t>A transaction that appears designed to avoid reporting — including suspected structuring — may be reported on Form 8300 voluntarily even when $10,000 or less, with the suspicious box marked. Company does not notify the payer of a suspicious-transaction filing, and no payer statement is required for a voluntary suspicious filing.</w:t>
      </w:r>
    </w:p>
    <w:p>
      <w:pPr/>
      <w:r>
        <w:rPr>
          <w:rFonts w:ascii="Calibri" w:hAnsi="Calibri"/>
          <w:i/>
          <w:color w:val="595959"/>
          <w:sz w:val="18"/>
        </w:rPr>
        <w:t>Form 8300 is a federal requirement and applies regardless of state cannabis law. Accepted identification, the e-filing determination, and complex aggregation questions are confirmed with the Company’s tax advisor.</w:t>
      </w:r>
    </w:p>
    <w:p>
      <w:pPr>
        <w:spacing w:before="240" w:after="100"/>
        <w:pBdr>
          <w:bottom w:val="single" w:sz="10" w:space="3" w:color="D8C7D1"/>
        </w:pBdr>
      </w:pPr>
      <w:r>
        <w:rPr>
          <w:rFonts w:ascii="Calibri" w:hAnsi="Calibri"/>
          <w:b/>
          <w:color w:val="5A2A4D"/>
          <w:sz w:val="23"/>
          <w:spacing w:val="14"/>
        </w:rPr>
        <w:t>6. Internal Controls</w:t>
      </w:r>
    </w:p>
    <w:p>
      <w:pPr>
        <w:pStyle w:val="ListBullet"/>
      </w:pPr>
      <w:r>
        <w:rPr>
          <w:rFonts w:ascii="Calibri" w:hAnsi="Calibri"/>
          <w:color w:val="2B2B2B"/>
          <w:sz w:val="19"/>
        </w:rPr>
        <w:t>Point-of-receipt recognition: staff are trained to flag cash (and qualifying monetary instruments) at or above the threshold before the payer leaves.</w:t>
      </w:r>
    </w:p>
    <w:p>
      <w:pPr>
        <w:pStyle w:val="ListBullet"/>
      </w:pPr>
      <w:r>
        <w:rPr>
          <w:rFonts w:ascii="Calibri" w:hAnsi="Calibri"/>
          <w:color w:val="2B2B2B"/>
          <w:sz w:val="19"/>
        </w:rPr>
        <w:t>Aggregation control: Accounting keeps a payer-level running total so related transactions within 12 months are captured, not just single payments.</w:t>
      </w:r>
    </w:p>
    <w:p>
      <w:pPr>
        <w:pStyle w:val="ListBullet"/>
      </w:pPr>
      <w:r>
        <w:rPr>
          <w:rFonts w:ascii="Calibri" w:hAnsi="Calibri"/>
          <w:color w:val="2B2B2B"/>
          <w:sz w:val="19"/>
        </w:rPr>
        <w:t>Independent review: Controller reviews every Form 8300 before filing and confirms it against the 15-day clock.</w:t>
      </w:r>
    </w:p>
    <w:p>
      <w:pPr>
        <w:pStyle w:val="ListBullet"/>
      </w:pPr>
      <w:r>
        <w:rPr>
          <w:rFonts w:ascii="Calibri" w:hAnsi="Calibri"/>
          <w:color w:val="2B2B2B"/>
          <w:sz w:val="19"/>
        </w:rPr>
        <w:t>Calendar control: a compliance calendar tracks each 15-day filing deadline and the January 31 payer-statement deadline.</w:t>
      </w:r>
    </w:p>
    <w:p>
      <w:pPr>
        <w:pStyle w:val="ListBullet"/>
      </w:pPr>
      <w:r>
        <w:rPr>
          <w:rFonts w:ascii="Calibri" w:hAnsi="Calibri"/>
          <w:color w:val="2B2B2B"/>
          <w:sz w:val="19"/>
        </w:rPr>
        <w:t>Segregation: the person who receives the cash is not the sole person who determines reportability; Accounting confirms independently.</w:t>
      </w:r>
    </w:p>
    <w:p>
      <w:pPr>
        <w:pStyle w:val="ListBullet"/>
      </w:pPr>
      <w:r>
        <w:rPr>
          <w:rFonts w:ascii="Calibri" w:hAnsi="Calibri"/>
          <w:color w:val="2B2B2B"/>
          <w:sz w:val="19"/>
        </w:rPr>
        <w:t>Anti-structuring: any sign a payer is splitting payments to stay under $10,000 is escalated and evaluated for suspicious-transaction reporting.</w:t>
      </w:r>
    </w:p>
    <w:p>
      <w:pPr>
        <w:pStyle w:val="ListBullet"/>
      </w:pPr>
      <w:r>
        <w:rPr>
          <w:rFonts w:ascii="Calibri" w:hAnsi="Calibri"/>
          <w:color w:val="2B2B2B"/>
          <w:sz w:val="19"/>
        </w:rPr>
        <w:t>Records: filings, supporting identification, and payer statements are retained for five years in document management system.</w:t>
      </w:r>
    </w:p>
    <w:p>
      <w:pPr>
        <w:spacing w:before="240" w:after="100"/>
        <w:pBdr>
          <w:bottom w:val="single" w:sz="10" w:space="3" w:color="D8C7D1"/>
        </w:pBdr>
      </w:pPr>
      <w:r>
        <w:rPr>
          <w:rFonts w:ascii="Calibri" w:hAnsi="Calibri"/>
          <w:b/>
          <w:color w:val="5A2A4D"/>
          <w:sz w:val="23"/>
          <w:spacing w:val="14"/>
        </w:rPr>
        <w:t>7. Regulatory &amp; Compliance Basis</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2088"/>
            <w:shd w:val="clear" w:color="auto" w:fill="5A2A4D"/>
          </w:tcPr>
          <w:p>
            <w:pPr>
              <w:spacing w:after="0" w:before="0"/>
            </w:pPr>
            <w:r/>
            <w:r>
              <w:rPr>
                <w:rFonts w:ascii="Calibri" w:hAnsi="Calibri"/>
                <w:b/>
                <w:i w:val="0"/>
                <w:color w:val="FFFFFF"/>
                <w:sz w:val="16"/>
              </w:rPr>
              <w:t>Reference</w:t>
            </w:r>
          </w:p>
        </w:tc>
        <w:tc>
          <w:tcPr>
            <w:tcW w:type="dxa" w:w="6264"/>
            <w:shd w:val="clear" w:color="auto" w:fill="5A2A4D"/>
          </w:tcPr>
          <w:p>
            <w:pPr>
              <w:spacing w:after="0" w:before="0"/>
            </w:pPr>
            <w:r/>
            <w:r>
              <w:rPr>
                <w:rFonts w:ascii="Calibri" w:hAnsi="Calibri"/>
                <w:b/>
                <w:i w:val="0"/>
                <w:color w:val="FFFFFF"/>
                <w:sz w:val="16"/>
              </w:rPr>
              <w:t>Requirement / Basis</w:t>
            </w:r>
          </w:p>
        </w:tc>
        <w:tc>
          <w:tcPr>
            <w:tcW w:type="dxa" w:w="1008"/>
            <w:shd w:val="clear" w:color="auto" w:fill="5A2A4D"/>
          </w:tcPr>
          <w:p>
            <w:pPr>
              <w:spacing w:after="0" w:before="0"/>
            </w:pPr>
            <w:r/>
            <w:r>
              <w:rPr>
                <w:rFonts w:ascii="Calibri" w:hAnsi="Calibri"/>
                <w:b/>
                <w:i w:val="0"/>
                <w:color w:val="FFFFFF"/>
                <w:sz w:val="16"/>
              </w:rPr>
              <w:t>Class</w:t>
            </w:r>
          </w:p>
        </w:tc>
      </w:tr>
      <w:tr>
        <w:tc>
          <w:tcPr>
            <w:tcW w:type="dxa" w:w="2088"/>
            <w:vAlign w:val="center"/>
          </w:tcPr>
          <w:p>
            <w:pPr>
              <w:spacing w:after="0" w:before="0"/>
            </w:pPr>
            <w:r>
              <w:t>IRC §6050I; 31 U.S.C. §5331</w:t>
            </w:r>
          </w:p>
        </w:tc>
        <w:tc>
          <w:tcPr>
            <w:tcW w:type="dxa" w:w="6264"/>
            <w:vAlign w:val="center"/>
          </w:tcPr>
          <w:p>
            <w:pPr>
              <w:spacing w:after="0" w:before="0"/>
            </w:pPr>
            <w:r>
              <w:t>A trade or business that receives more than $10,000 in cash in one or related transactions must report it on Form 8300.</w:t>
            </w:r>
          </w:p>
        </w:tc>
        <w:tc>
          <w:tcPr>
            <w:tcW w:type="dxa" w:w="1008"/>
            <w:vAlign w:val="center"/>
          </w:tcPr>
          <w:p>
            <w:pPr>
              <w:spacing w:after="0" w:before="0"/>
            </w:pPr>
            <w:r>
              <w:t>R</w:t>
            </w:r>
          </w:p>
        </w:tc>
      </w:tr>
      <w:tr>
        <w:tc>
          <w:tcPr>
            <w:tcW w:type="dxa" w:w="2088"/>
            <w:vAlign w:val="center"/>
          </w:tcPr>
          <w:p>
            <w:pPr>
              <w:spacing w:after="0" w:before="0"/>
            </w:pPr>
            <w:r>
              <w:t>IRS — 15-day filing</w:t>
            </w:r>
          </w:p>
        </w:tc>
        <w:tc>
          <w:tcPr>
            <w:tcW w:type="dxa" w:w="6264"/>
            <w:vAlign w:val="center"/>
          </w:tcPr>
          <w:p>
            <w:pPr>
              <w:spacing w:after="0" w:before="0"/>
            </w:pPr>
            <w:r>
              <w:t>Form 8300 is filed within 15 days after the date the reportable cash is received.</w:t>
            </w:r>
          </w:p>
        </w:tc>
        <w:tc>
          <w:tcPr>
            <w:tcW w:type="dxa" w:w="1008"/>
            <w:vAlign w:val="center"/>
          </w:tcPr>
          <w:p>
            <w:pPr>
              <w:spacing w:after="0" w:before="0"/>
            </w:pPr>
            <w:r>
              <w:t>R</w:t>
            </w:r>
          </w:p>
        </w:tc>
      </w:tr>
      <w:tr>
        <w:tc>
          <w:tcPr>
            <w:tcW w:type="dxa" w:w="2088"/>
            <w:vAlign w:val="center"/>
          </w:tcPr>
          <w:p>
            <w:pPr>
              <w:spacing w:after="0" w:before="0"/>
            </w:pPr>
            <w:r>
              <w:t>IRS — definition of cash</w:t>
            </w:r>
          </w:p>
        </w:tc>
        <w:tc>
          <w:tcPr>
            <w:tcW w:type="dxa" w:w="6264"/>
            <w:vAlign w:val="center"/>
          </w:tcPr>
          <w:p>
            <w:pPr>
              <w:spacing w:after="0" w:before="0"/>
            </w:pPr>
            <w:r>
              <w:t>Cash includes currency and, in reporting transactions, monetary instruments of $10,000 or less; personal checks are excluded.</w:t>
            </w:r>
          </w:p>
        </w:tc>
        <w:tc>
          <w:tcPr>
            <w:tcW w:type="dxa" w:w="1008"/>
            <w:vAlign w:val="center"/>
          </w:tcPr>
          <w:p>
            <w:pPr>
              <w:spacing w:after="0" w:before="0"/>
            </w:pPr>
            <w:r>
              <w:t>R</w:t>
            </w:r>
          </w:p>
        </w:tc>
      </w:tr>
      <w:tr>
        <w:tc>
          <w:tcPr>
            <w:tcW w:type="dxa" w:w="2088"/>
            <w:vAlign w:val="center"/>
          </w:tcPr>
          <w:p>
            <w:pPr>
              <w:spacing w:after="0" w:before="0"/>
            </w:pPr>
            <w:r>
              <w:t>IRS — related transactions</w:t>
            </w:r>
          </w:p>
        </w:tc>
        <w:tc>
          <w:tcPr>
            <w:tcW w:type="dxa" w:w="6264"/>
            <w:vAlign w:val="center"/>
          </w:tcPr>
          <w:p>
            <w:pPr>
              <w:spacing w:after="0" w:before="0"/>
            </w:pPr>
            <w:r>
              <w:t>Transactions within 24 hours, or known to be connected within 12 months, are aggregated against the $10,000 threshold.</w:t>
            </w:r>
          </w:p>
        </w:tc>
        <w:tc>
          <w:tcPr>
            <w:tcW w:type="dxa" w:w="1008"/>
            <w:vAlign w:val="center"/>
          </w:tcPr>
          <w:p>
            <w:pPr>
              <w:spacing w:after="0" w:before="0"/>
            </w:pPr>
            <w:r>
              <w:t>R</w:t>
            </w:r>
          </w:p>
        </w:tc>
      </w:tr>
      <w:tr>
        <w:tc>
          <w:tcPr>
            <w:tcW w:type="dxa" w:w="2088"/>
            <w:vAlign w:val="center"/>
          </w:tcPr>
          <w:p>
            <w:pPr>
              <w:spacing w:after="0" w:before="0"/>
            </w:pPr>
            <w:r>
              <w:t>IRS — mandatory e-filing (eff. 1/1/2024)</w:t>
            </w:r>
          </w:p>
        </w:tc>
        <w:tc>
          <w:tcPr>
            <w:tcW w:type="dxa" w:w="6264"/>
            <w:vAlign w:val="center"/>
          </w:tcPr>
          <w:p>
            <w:pPr>
              <w:spacing w:after="0" w:before="0"/>
            </w:pPr>
            <w:r>
              <w:t>A business required to e-file 10+ information returns of other types must e-file Form 8300 via the FinCEN BSA E-Filing System; Form 8508 waiver for hardship.</w:t>
            </w:r>
          </w:p>
        </w:tc>
        <w:tc>
          <w:tcPr>
            <w:tcW w:type="dxa" w:w="1008"/>
            <w:vAlign w:val="center"/>
          </w:tcPr>
          <w:p>
            <w:pPr>
              <w:spacing w:after="0" w:before="0"/>
            </w:pPr>
            <w:r>
              <w:t>R</w:t>
            </w:r>
          </w:p>
        </w:tc>
      </w:tr>
      <w:tr>
        <w:tc>
          <w:tcPr>
            <w:tcW w:type="dxa" w:w="2088"/>
            <w:vAlign w:val="center"/>
          </w:tcPr>
          <w:p>
            <w:pPr>
              <w:spacing w:after="0" w:before="0"/>
            </w:pPr>
            <w:r>
              <w:t>IRS — payer statement by Jan 31</w:t>
            </w:r>
          </w:p>
        </w:tc>
        <w:tc>
          <w:tcPr>
            <w:tcW w:type="dxa" w:w="6264"/>
            <w:vAlign w:val="center"/>
          </w:tcPr>
          <w:p>
            <w:pPr>
              <w:spacing w:after="0" w:before="0"/>
            </w:pPr>
            <w:r>
              <w:t>A written statement is furnished to each person named on a filed Form 8300 by January 31 of the following year.</w:t>
            </w:r>
          </w:p>
        </w:tc>
        <w:tc>
          <w:tcPr>
            <w:tcW w:type="dxa" w:w="1008"/>
            <w:vAlign w:val="center"/>
          </w:tcPr>
          <w:p>
            <w:pPr>
              <w:spacing w:after="0" w:before="0"/>
            </w:pPr>
            <w:r>
              <w:t>R</w:t>
            </w:r>
          </w:p>
        </w:tc>
      </w:tr>
      <w:tr>
        <w:tc>
          <w:tcPr>
            <w:tcW w:type="dxa" w:w="2088"/>
            <w:vAlign w:val="center"/>
          </w:tcPr>
          <w:p>
            <w:pPr>
              <w:spacing w:after="0" w:before="0"/>
            </w:pPr>
            <w:r>
              <w:t>IRS — 5-year retention</w:t>
            </w:r>
          </w:p>
        </w:tc>
        <w:tc>
          <w:tcPr>
            <w:tcW w:type="dxa" w:w="6264"/>
            <w:vAlign w:val="center"/>
          </w:tcPr>
          <w:p>
            <w:pPr>
              <w:spacing w:after="0" w:before="0"/>
            </w:pPr>
            <w:r>
              <w:t>Copies of each Form 8300, supporting documentation, and payer statements are kept at least five years.</w:t>
            </w:r>
          </w:p>
        </w:tc>
        <w:tc>
          <w:tcPr>
            <w:tcW w:type="dxa" w:w="1008"/>
            <w:vAlign w:val="center"/>
          </w:tcPr>
          <w:p>
            <w:pPr>
              <w:spacing w:after="0" w:before="0"/>
            </w:pPr>
            <w:r>
              <w:t>R</w:t>
            </w:r>
          </w:p>
        </w:tc>
      </w:tr>
    </w:tbl>
    <w:p>
      <w:pPr>
        <w:spacing w:after="80"/>
      </w:pPr>
      <w:r>
        <w:rPr>
          <w:rFonts w:ascii="Calibri" w:hAnsi="Calibri"/>
          <w:i/>
          <w:color w:val="707070"/>
          <w:sz w:val="17"/>
        </w:rPr>
        <w:t>Form 8300 is a federal requirement under IRC §6050I and 31 U.S.C. §5331 and applies to Company regardless of state cannabis law. Current IRS guidance should be reconfirmed with the Company’s tax advisor, as thresholds and e-filing rules are updated periodically.</w:t>
      </w:r>
    </w:p>
    <w:p>
      <w:pPr>
        <w:spacing w:before="240" w:after="100"/>
        <w:pBdr>
          <w:bottom w:val="single" w:sz="10" w:space="3" w:color="D8C7D1"/>
        </w:pBdr>
      </w:pPr>
      <w:r>
        <w:rPr>
          <w:rFonts w:ascii="Calibri" w:hAnsi="Calibri"/>
          <w:b/>
          <w:color w:val="5A2A4D"/>
          <w:sz w:val="23"/>
          <w:spacing w:val="14"/>
        </w:rPr>
        <w:t>8. Records &amp; Retention</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3120"/>
        <w:gridCol w:w="3120"/>
        <w:gridCol w:w="3120"/>
      </w:tblGrid>
      <w:tr>
        <w:tc>
          <w:tcPr>
            <w:tcW w:type="dxa" w:w="3384"/>
            <w:shd w:val="clear" w:color="auto" w:fill="5A2A4D"/>
          </w:tcPr>
          <w:p>
            <w:pPr>
              <w:spacing w:after="0" w:before="0"/>
            </w:pPr>
            <w:r/>
            <w:r>
              <w:rPr>
                <w:rFonts w:ascii="Calibri" w:hAnsi="Calibri"/>
                <w:b/>
                <w:i w:val="0"/>
                <w:color w:val="FFFFFF"/>
                <w:sz w:val="16"/>
              </w:rPr>
              <w:t>Record</w:t>
            </w:r>
          </w:p>
        </w:tc>
        <w:tc>
          <w:tcPr>
            <w:tcW w:type="dxa" w:w="3096"/>
            <w:shd w:val="clear" w:color="auto" w:fill="5A2A4D"/>
          </w:tcPr>
          <w:p>
            <w:pPr>
              <w:spacing w:after="0" w:before="0"/>
            </w:pPr>
            <w:r/>
            <w:r>
              <w:rPr>
                <w:rFonts w:ascii="Calibri" w:hAnsi="Calibri"/>
                <w:b/>
                <w:i w:val="0"/>
                <w:color w:val="FFFFFF"/>
                <w:sz w:val="16"/>
              </w:rPr>
              <w:t>Location (document management system)</w:t>
            </w:r>
          </w:p>
        </w:tc>
        <w:tc>
          <w:tcPr>
            <w:tcW w:type="dxa" w:w="2880"/>
            <w:shd w:val="clear" w:color="auto" w:fill="5A2A4D"/>
          </w:tcPr>
          <w:p>
            <w:pPr>
              <w:spacing w:after="0" w:before="0"/>
            </w:pPr>
            <w:r/>
            <w:r>
              <w:rPr>
                <w:rFonts w:ascii="Calibri" w:hAnsi="Calibri"/>
                <w:b/>
                <w:i w:val="0"/>
                <w:color w:val="FFFFFF"/>
                <w:sz w:val="16"/>
              </w:rPr>
              <w:t>Retention</w:t>
            </w:r>
          </w:p>
        </w:tc>
      </w:tr>
      <w:tr>
        <w:tc>
          <w:tcPr>
            <w:tcW w:type="dxa" w:w="3384"/>
            <w:vAlign w:val="center"/>
          </w:tcPr>
          <w:p>
            <w:pPr>
              <w:spacing w:after="0" w:before="0"/>
            </w:pPr>
            <w:r>
              <w:t>Filed Forms 8300 (copies / e-file confirmations)</w:t>
            </w:r>
          </w:p>
        </w:tc>
        <w:tc>
          <w:tcPr>
            <w:tcW w:type="dxa" w:w="3096"/>
            <w:vAlign w:val="center"/>
          </w:tcPr>
          <w:p>
            <w:pPr>
              <w:spacing w:after="0" w:before="0"/>
            </w:pPr>
            <w:r>
              <w:t>Compliance / Form 8300 Filings</w:t>
            </w:r>
          </w:p>
        </w:tc>
        <w:tc>
          <w:tcPr>
            <w:tcW w:type="dxa" w:w="2880"/>
            <w:vAlign w:val="center"/>
          </w:tcPr>
          <w:p>
            <w:pPr>
              <w:spacing w:after="0" w:before="0"/>
            </w:pPr>
            <w:r>
              <w:t>Min. 5 years from date filed</w:t>
            </w:r>
          </w:p>
        </w:tc>
      </w:tr>
      <w:tr>
        <w:tc>
          <w:tcPr>
            <w:tcW w:type="dxa" w:w="3384"/>
            <w:vAlign w:val="center"/>
          </w:tcPr>
          <w:p>
            <w:pPr>
              <w:spacing w:after="0" w:before="0"/>
            </w:pPr>
            <w:r>
              <w:t>Form 8300 worksheets &amp; payer identification</w:t>
            </w:r>
          </w:p>
        </w:tc>
        <w:tc>
          <w:tcPr>
            <w:tcW w:type="dxa" w:w="3096"/>
            <w:vAlign w:val="center"/>
          </w:tcPr>
          <w:p>
            <w:pPr>
              <w:spacing w:after="0" w:before="0"/>
            </w:pPr>
            <w:r>
              <w:t>Compliance / Form 8300 Filings (restricted)</w:t>
            </w:r>
          </w:p>
        </w:tc>
        <w:tc>
          <w:tcPr>
            <w:tcW w:type="dxa" w:w="2880"/>
            <w:vAlign w:val="center"/>
          </w:tcPr>
          <w:p>
            <w:pPr>
              <w:spacing w:after="0" w:before="0"/>
            </w:pPr>
            <w:r>
              <w:t>Min. 5 years</w:t>
            </w:r>
          </w:p>
        </w:tc>
      </w:tr>
      <w:tr>
        <w:tc>
          <w:tcPr>
            <w:tcW w:type="dxa" w:w="3384"/>
            <w:vAlign w:val="center"/>
          </w:tcPr>
          <w:p>
            <w:pPr>
              <w:spacing w:after="0" w:before="0"/>
            </w:pPr>
            <w:r>
              <w:t>Payer annual statements (Jan 31)</w:t>
            </w:r>
          </w:p>
        </w:tc>
        <w:tc>
          <w:tcPr>
            <w:tcW w:type="dxa" w:w="3096"/>
            <w:vAlign w:val="center"/>
          </w:tcPr>
          <w:p>
            <w:pPr>
              <w:spacing w:after="0" w:before="0"/>
            </w:pPr>
            <w:r>
              <w:t>Compliance / Form 8300 Filings</w:t>
            </w:r>
          </w:p>
        </w:tc>
        <w:tc>
          <w:tcPr>
            <w:tcW w:type="dxa" w:w="2880"/>
            <w:vAlign w:val="center"/>
          </w:tcPr>
          <w:p>
            <w:pPr>
              <w:spacing w:after="0" w:before="0"/>
            </w:pPr>
            <w:r>
              <w:t>Min. 5 years</w:t>
            </w:r>
          </w:p>
        </w:tc>
      </w:tr>
      <w:tr>
        <w:tc>
          <w:tcPr>
            <w:tcW w:type="dxa" w:w="3384"/>
            <w:vAlign w:val="center"/>
          </w:tcPr>
          <w:p>
            <w:pPr>
              <w:spacing w:after="0" w:before="0"/>
            </w:pPr>
            <w:r>
              <w:t>Payer-level cash aggregation log</w:t>
            </w:r>
          </w:p>
        </w:tc>
        <w:tc>
          <w:tcPr>
            <w:tcW w:type="dxa" w:w="3096"/>
            <w:vAlign w:val="center"/>
          </w:tcPr>
          <w:p>
            <w:pPr>
              <w:spacing w:after="0" w:before="0"/>
            </w:pPr>
            <w:r>
              <w:t>Compliance / Form 8300 Filings</w:t>
            </w:r>
          </w:p>
        </w:tc>
        <w:tc>
          <w:tcPr>
            <w:tcW w:type="dxa" w:w="2880"/>
            <w:vAlign w:val="center"/>
          </w:tcPr>
          <w:p>
            <w:pPr>
              <w:spacing w:after="0" w:before="0"/>
            </w:pPr>
            <w:r>
              <w:t>Min. 5 years</w:t>
            </w:r>
          </w:p>
        </w:tc>
      </w:tr>
      <w:tr>
        <w:tc>
          <w:tcPr>
            <w:tcW w:type="dxa" w:w="3384"/>
            <w:vAlign w:val="center"/>
          </w:tcPr>
          <w:p>
            <w:pPr>
              <w:spacing w:after="0" w:before="0"/>
            </w:pPr>
            <w:r>
              <w:t>Suspicious-transaction filings</w:t>
            </w:r>
          </w:p>
        </w:tc>
        <w:tc>
          <w:tcPr>
            <w:tcW w:type="dxa" w:w="3096"/>
            <w:vAlign w:val="center"/>
          </w:tcPr>
          <w:p>
            <w:pPr>
              <w:spacing w:after="0" w:before="0"/>
            </w:pPr>
            <w:r>
              <w:t>Compliance / Form 8300 Filings (restricted)</w:t>
            </w:r>
          </w:p>
        </w:tc>
        <w:tc>
          <w:tcPr>
            <w:tcW w:type="dxa" w:w="2880"/>
            <w:vAlign w:val="center"/>
          </w:tcPr>
          <w:p>
            <w:pPr>
              <w:spacing w:after="0" w:before="0"/>
            </w:pPr>
            <w:r>
              <w:t>Min. 5 years</w:t>
            </w:r>
          </w:p>
        </w:tc>
      </w:tr>
    </w:tbl>
    <w:p>
      <w:pPr>
        <w:spacing w:before="240" w:after="100"/>
        <w:pBdr>
          <w:bottom w:val="single" w:sz="10" w:space="3" w:color="D8C7D1"/>
        </w:pBdr>
      </w:pPr>
      <w:r>
        <w:rPr>
          <w:rFonts w:ascii="Calibri" w:hAnsi="Calibri"/>
          <w:b/>
          <w:color w:val="5A2A4D"/>
          <w:sz w:val="23"/>
          <w:spacing w:val="14"/>
        </w:rPr>
        <w:t>9. Exceptions &amp; Escalation</w:t>
      </w:r>
    </w:p>
    <w:p>
      <w:pPr>
        <w:pStyle w:val="ListBullet"/>
      </w:pPr>
      <w:r>
        <w:rPr>
          <w:rFonts w:ascii="Calibri" w:hAnsi="Calibri"/>
          <w:color w:val="2B2B2B"/>
          <w:sz w:val="19"/>
        </w:rPr>
        <w:t>A reportable receipt identified after the fact: Accounting files Form 8300 immediately, documents the reason for the delay, and notifies Controller.</w:t>
      </w:r>
    </w:p>
    <w:p>
      <w:pPr>
        <w:pStyle w:val="ListBullet"/>
      </w:pPr>
      <w:r>
        <w:rPr>
          <w:rFonts w:ascii="Calibri" w:hAnsi="Calibri"/>
          <w:color w:val="2B2B2B"/>
          <w:sz w:val="19"/>
        </w:rPr>
        <w:t>Suspected structuring, or a payer refusing to provide identification: escalate to Controller and Owner the same day and evaluate for a suspicious-transaction filing; do not notify the payer of a suspicious filing.</w:t>
      </w:r>
    </w:p>
    <w:p>
      <w:pPr>
        <w:pStyle w:val="ListBullet"/>
      </w:pPr>
      <w:r>
        <w:rPr>
          <w:rFonts w:ascii="Calibri" w:hAnsi="Calibri"/>
          <w:color w:val="2B2B2B"/>
          <w:sz w:val="19"/>
        </w:rPr>
        <w:t>Uncertainty about whether a transaction is reportable (monetary instruments, agents, related transactions): hold for Controller review and confirm with the tax advisor before the 15-day deadline.</w:t>
      </w:r>
    </w:p>
    <w:p>
      <w:pPr>
        <w:pStyle w:val="ListBullet"/>
      </w:pPr>
      <w:r>
        <w:rPr>
          <w:rFonts w:ascii="Calibri" w:hAnsi="Calibri"/>
          <w:color w:val="2B2B2B"/>
          <w:sz w:val="19"/>
        </w:rPr>
        <w:t>A missed 15-day or January 31 deadline: escalate to Owner and tax advisor immediately; penalties increase with delay and are higher for intentional disregard.</w:t>
      </w:r>
    </w:p>
    <w:p>
      <w:pPr>
        <w:spacing w:before="240" w:after="100"/>
        <w:pBdr>
          <w:bottom w:val="single" w:sz="10" w:space="3" w:color="D8C7D1"/>
        </w:pBdr>
      </w:pPr>
      <w:r>
        <w:rPr>
          <w:rFonts w:ascii="Calibri" w:hAnsi="Calibri"/>
          <w:b/>
          <w:color w:val="5A2A4D"/>
          <w:sz w:val="23"/>
          <w:spacing w:val="14"/>
        </w:rPr>
        <w:t>10. Revision History</w:t>
      </w:r>
    </w:p>
    <w:tbl>
      <w:tblPr>
        <w:tblW w:type="auto" w:w="0"/>
        <w:tblLook w:firstColumn="1" w:firstRow="1" w:lastColumn="0" w:lastRow="0" w:noHBand="0" w:noVBand="1" w:val="04A0"/>
        <w:tblBorders>
          <w:top w:val="single" w:sz="4" w:space="0" w:color="D8C7D1"/>
          <w:left w:val="single" w:sz="4" w:space="0" w:color="D8C7D1"/>
          <w:bottom w:val="single" w:sz="4" w:space="0" w:color="D8C7D1"/>
          <w:right w:val="single" w:sz="4" w:space="0" w:color="D8C7D1"/>
          <w:insideH w:val="single" w:sz="4" w:space="0" w:color="D8C7D1"/>
          <w:insideV w:val="single" w:sz="4" w:space="0" w:color="D8C7D1"/>
        </w:tblBorders>
        <w:tblLayout w:type="fixed"/>
        <w:tblCellMar>
          <w:top w:w="60" w:type="dxa"/>
          <w:bottom w:w="60" w:type="dxa"/>
          <w:left w:w="110" w:type="dxa"/>
          <w:right w:w="110" w:type="dxa"/>
        </w:tblCellMar>
      </w:tblPr>
      <w:tblGrid>
        <w:gridCol w:w="2340"/>
        <w:gridCol w:w="2340"/>
        <w:gridCol w:w="2340"/>
        <w:gridCol w:w="2340"/>
      </w:tblGrid>
      <w:tr>
        <w:tc>
          <w:tcPr>
            <w:tcW w:type="dxa" w:w="1440"/>
            <w:shd w:val="clear" w:color="auto" w:fill="5A2A4D"/>
          </w:tcPr>
          <w:p>
            <w:pPr>
              <w:spacing w:after="0" w:before="0"/>
            </w:pPr>
            <w:r/>
            <w:r>
              <w:rPr>
                <w:rFonts w:ascii="Calibri" w:hAnsi="Calibri"/>
                <w:b/>
                <w:i w:val="0"/>
                <w:color w:val="FFFFFF"/>
                <w:sz w:val="16"/>
              </w:rPr>
              <w:t>Version</w:t>
            </w:r>
          </w:p>
        </w:tc>
        <w:tc>
          <w:tcPr>
            <w:tcW w:type="dxa" w:w="1656"/>
            <w:shd w:val="clear" w:color="auto" w:fill="5A2A4D"/>
          </w:tcPr>
          <w:p>
            <w:pPr>
              <w:spacing w:after="0" w:before="0"/>
            </w:pPr>
            <w:r/>
            <w:r>
              <w:rPr>
                <w:rFonts w:ascii="Calibri" w:hAnsi="Calibri"/>
                <w:b/>
                <w:i w:val="0"/>
                <w:color w:val="FFFFFF"/>
                <w:sz w:val="16"/>
              </w:rPr>
              <w:t>Date</w:t>
            </w:r>
          </w:p>
        </w:tc>
        <w:tc>
          <w:tcPr>
            <w:tcW w:type="dxa" w:w="2376"/>
            <w:shd w:val="clear" w:color="auto" w:fill="5A2A4D"/>
          </w:tcPr>
          <w:p>
            <w:pPr>
              <w:spacing w:after="0" w:before="0"/>
            </w:pPr>
            <w:r/>
            <w:r>
              <w:rPr>
                <w:rFonts w:ascii="Calibri" w:hAnsi="Calibri"/>
                <w:b/>
                <w:i w:val="0"/>
                <w:color w:val="FFFFFF"/>
                <w:sz w:val="16"/>
              </w:rPr>
              <w:t>Author</w:t>
            </w:r>
          </w:p>
        </w:tc>
        <w:tc>
          <w:tcPr>
            <w:tcW w:type="dxa" w:w="3888"/>
            <w:shd w:val="clear" w:color="auto" w:fill="5A2A4D"/>
          </w:tcPr>
          <w:p>
            <w:pPr>
              <w:spacing w:after="0" w:before="0"/>
            </w:pPr>
            <w:r/>
            <w:r>
              <w:rPr>
                <w:rFonts w:ascii="Calibri" w:hAnsi="Calibri"/>
                <w:b/>
                <w:i w:val="0"/>
                <w:color w:val="FFFFFF"/>
                <w:sz w:val="16"/>
              </w:rPr>
              <w:t>Change</w:t>
            </w:r>
          </w:p>
        </w:tc>
      </w:tr>
      <w:tr>
        <w:tc>
          <w:tcPr>
            <w:tcW w:type="dxa" w:w="1440"/>
            <w:vAlign w:val="center"/>
          </w:tcPr>
          <w:p>
            <w:pPr>
              <w:spacing w:after="0" w:before="0"/>
            </w:pPr>
            <w:r>
              <w:t>Sample v1.0</w:t>
            </w:r>
          </w:p>
        </w:tc>
        <w:tc>
          <w:tcPr>
            <w:tcW w:type="dxa" w:w="1656"/>
            <w:vAlign w:val="center"/>
          </w:tcPr>
          <w:p>
            <w:pPr>
              <w:spacing w:after="0" w:before="0"/>
            </w:pPr>
            <w:r>
              <w:t>—</w:t>
            </w:r>
          </w:p>
        </w:tc>
        <w:tc>
          <w:tcPr>
            <w:tcW w:type="dxa" w:w="2376"/>
            <w:vAlign w:val="center"/>
          </w:tcPr>
          <w:p>
            <w:pPr>
              <w:spacing w:after="0" w:before="0"/>
            </w:pPr>
            <w:r>
              <w:t>Controller</w:t>
            </w:r>
          </w:p>
        </w:tc>
        <w:tc>
          <w:tcPr>
            <w:tcW w:type="dxa" w:w="3888"/>
            <w:vAlign w:val="center"/>
          </w:tcPr>
          <w:p>
            <w:pPr>
              <w:spacing w:after="0" w:before="0"/>
            </w:pPr>
            <w:r>
              <w:t>Training example for the Financial Foundations cohort.</w:t>
            </w:r>
          </w:p>
        </w:tc>
      </w:tr>
    </w:tbl>
    <w:sectPr w:rsidR="00FC693F" w:rsidRPr="0006063C" w:rsidSect="00034616">
      <w:footerReference w:type="default" r:id="rId9"/>
      <w:headerReference w:type="default" r:id="rId13"/>
      <w:headerReference w:type="first" r:id="rId14"/>
      <w:footerReference w:type="first" r:id="rId15"/>
      <w:headerReference w:type="even" r:id="rId16"/>
      <w:footerReference w:type="even" r:id="rId17"/>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 xml:space="preserve">Financial Foundations  ·  Accounting SOP Library  ·  Sample (Training Use)  ·  Page </w:t>
    </w:r>
    <w:fldSimple w:instr="PAGE">
      <w:r>
        <w:t>1</w:t>
      </w:r>
    </w:fldSimple>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48E6DCCB9E044B98D9A497F37EF566" ma:contentTypeVersion="10" ma:contentTypeDescription="Create a new document." ma:contentTypeScope="" ma:versionID="74e885cccaa0ad977d346d41f47d729b">
  <xsd:schema xmlns:xsd="http://www.w3.org/2001/XMLSchema" xmlns:xs="http://www.w3.org/2001/XMLSchema" xmlns:p="http://schemas.microsoft.com/office/2006/metadata/properties" xmlns:ns2="2d19cb05-42b8-446d-8ffd-054182eccb46" xmlns:ns3="1a699f53-527d-4b53-a31b-94c54416202a" targetNamespace="http://schemas.microsoft.com/office/2006/metadata/properties" ma:root="true" ma:fieldsID="73a7582bea958ff6265bfb4693d1370b" ns2:_="" ns3:_="">
    <xsd:import namespace="2d19cb05-42b8-446d-8ffd-054182eccb46"/>
    <xsd:import namespace="1a699f53-527d-4b53-a31b-94c544162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9cb05-42b8-446d-8ffd-054182ecc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b681cf-0ad8-4f93-ab5d-5add2e29d1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99f53-527d-4b53-a31b-94c5441620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e0644-30d8-45f7-8c72-b7c7be459bc0}" ma:internalName="TaxCatchAll" ma:showField="CatchAllData" ma:web="1a699f53-527d-4b53-a31b-94c544162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699f53-527d-4b53-a31b-94c54416202a" xsi:nil="true"/>
    <lcf76f155ced4ddcb4097134ff3c332f xmlns="2d19cb05-42b8-446d-8ffd-054182ecc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3C74149-EB36-49D6-BC5A-BE05715BAD08}"/>
</file>

<file path=customXml/itemProps3.xml><?xml version="1.0" encoding="utf-8"?>
<ds:datastoreItem xmlns:ds="http://schemas.openxmlformats.org/officeDocument/2006/customXml" ds:itemID="{6739A896-28A3-47CE-865A-1BC85D991964}"/>
</file>

<file path=customXml/itemProps4.xml><?xml version="1.0" encoding="utf-8"?>
<ds:datastoreItem xmlns:ds="http://schemas.openxmlformats.org/officeDocument/2006/customXml" ds:itemID="{F4F90157-686C-4F0B-9853-A4F8C3D3E00C}"/>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0x0101005048E6DCCB9E044B98D9A497F37EF566</vt:lpwstr>
  </property>
</Properties>
</file>